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Locklear, Gabriel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Bro. Theodore Oliveira, C.S.C. Fund</w:t>
            </w:r>
          </w:p>
        </w:tc>
        <w:tc>
          <w:tcPr>
            <w:tcW w:type="dxa" w:w="4320"/>
          </w:tcPr>
          <w:p>
            <w:r>
              <w:t>$2,300</w:t>
            </w:r>
          </w:p>
        </w:tc>
      </w:tr>
      <w:tr>
        <w:tc>
          <w:tcPr>
            <w:tcW w:type="dxa" w:w="4320"/>
          </w:tcPr>
          <w:p>
            <w:r>
              <w:rPr>
                <w:b/>
              </w:rPr>
              <w:t>Notre Dame Award</w:t>
            </w:r>
          </w:p>
        </w:tc>
        <w:tc>
          <w:tcPr>
            <w:tcW w:type="dxa" w:w="4320"/>
          </w:tcPr>
          <w:p>
            <w:r>
              <w:t>$3,700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