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McCurley, Sean</w:t>
            </w:r>
          </w:p>
        </w:tc>
      </w:tr>
      <w:tr>
        <w:tc>
          <w:tcPr>
            <w:tcW w:type="dxa" w:w="4320"/>
          </w:tcPr>
          <w:p>
            <w:r>
              <w:rPr>
                <w:b/>
              </w:rPr>
              <w:t>Class of:</w:t>
            </w:r>
          </w:p>
        </w:tc>
        <w:tc>
          <w:tcPr>
            <w:tcW w:type="dxa" w:w="4320"/>
          </w:tcPr>
          <w:p>
            <w:r>
              <w:t>2025</w:t>
            </w:r>
          </w:p>
        </w:tc>
      </w:tr>
      <w:tr>
        <w:tc>
          <w:tcPr>
            <w:tcW w:type="dxa" w:w="4320"/>
          </w:tcPr>
          <w:p>
            <w:r>
              <w:rPr>
                <w:b/>
              </w:rPr>
              <w:t>ID:</w:t>
            </w:r>
          </w:p>
        </w:tc>
        <w:tc>
          <w:tcPr>
            <w:tcW w:type="dxa" w:w="4320"/>
          </w:tcPr>
          <w:p>
            <w:r>
              <w:t>20253120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$20,450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$19,450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