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Orzel, Carter</w:t>
            </w:r>
          </w:p>
        </w:tc>
      </w:tr>
      <w:tr>
        <w:tc>
          <w:tcPr>
            <w:tcW w:type="dxa" w:w="4320"/>
          </w:tcPr>
          <w:p>
            <w:r>
              <w:rPr>
                <w:b/>
              </w:rPr>
              <w:t>Class of:</w:t>
            </w:r>
          </w:p>
        </w:tc>
        <w:tc>
          <w:tcPr>
            <w:tcW w:type="dxa" w:w="4320"/>
          </w:tcPr>
          <w:p>
            <w:r>
              <w:t>2026</w:t>
            </w:r>
          </w:p>
        </w:tc>
      </w:tr>
      <w:tr>
        <w:tc>
          <w:tcPr>
            <w:tcW w:type="dxa" w:w="4320"/>
          </w:tcPr>
          <w:p>
            <w:r>
              <w:rPr>
                <w:b/>
              </w:rPr>
              <w:t>ID:</w:t>
            </w:r>
          </w:p>
        </w:tc>
        <w:tc>
          <w:tcPr>
            <w:tcW w:type="dxa" w:w="4320"/>
          </w:tcPr>
          <w:p>
            <w:r>
              <w:t>20265950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$18,950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