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Treat, Rafael</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Daniel ’69 and Richard ’72 Meisenheimer Brothers Fund</w:t>
            </w:r>
          </w:p>
        </w:tc>
        <w:tc>
          <w:tcPr>
            <w:tcW w:type="dxa" w:w="4320"/>
          </w:tcPr>
          <w:p>
            <w:r>
              <w:t>$3,500</w:t>
            </w:r>
          </w:p>
        </w:tc>
      </w:tr>
      <w:tr>
        <w:tc>
          <w:tcPr>
            <w:tcW w:type="dxa" w:w="4320"/>
          </w:tcPr>
          <w:p>
            <w:r>
              <w:rPr>
                <w:b/>
              </w:rPr>
              <w:t>Notre Dame Award</w:t>
            </w:r>
          </w:p>
        </w:tc>
        <w:tc>
          <w:tcPr>
            <w:tcW w:type="dxa" w:w="4320"/>
          </w:tcPr>
          <w:p>
            <w:r>
              <w:t>$1,500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