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Part 1</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online real estate brokerage industry has disrupted the traditional real estate market by using technology to provide buyers and sellers with more efficient and less costly services, among them the listing of a house, the ability to retrieve tax and previous sale information on essentially any residential property, and the capacity to quickly compare one house with another. Several companies occupy this increasingly competitive landscape, each with a unique business model that allows it to dominate its competitors in at least one significant way.</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Redfin: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Redfin is an online real estate brokerage that operates as both a real estate agent and a technology platform. It offers a full-service experience with local agents while leveraging technology for property search, pricing, and analytics. Redfin typically charges lower commissions than traditional brokerages.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Opendoor:</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Opendoor is known for its "iBuyer" model, which allows homeowners to sell their properties quickly to Opendoor, bypassing the traditional listing process. They use technology to assess property values, make cash offers, and streamline the home-selling process. Opendoor typically buys homes, makes necessary repairs, and then resells them. In this sense, Opendoor is more involved than Redfin in the sale of the house itself, while it is less involved than Redfin in the mere “advertising” of the home sale.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Zillow:</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Zillow is a real estate marketplace that offers a range of services, including property listings, mortgage information, and advertising. In this sense, it is highly comparable to Redfin. It provides extensive property data, analytics, and tools for both buyers and sellers. Unlike Redin, Zillow has gone a step farther by venturing into home buying and selling through its "Zillow Offers" program.</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online, more novel brokerages are distinguished from their older, more established counterparts like Century 21 and RE/MAX in one major sense: their non-digital, more legacy counterparts usually have higher commission structures and drastically higher overhead compared to the digital companies. Online brokerages, therefore, can leverage their nimbleness and scalability to disrupt the traditional real estate market.</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high level, the digital brokerages can be distinguished along a number of criteria:</w:t>
      </w:r>
    </w:p>
    <w:p w:rsidR="00000000" w:rsidDel="00000000" w:rsidP="00000000" w:rsidRDefault="00000000" w:rsidRPr="00000000" w14:paraId="0000001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Redfin is more analogous to a legacy brokerage in that it is more “full-service.” Redfin and similar companies offer a combination of online tools and services provided by local real estate agents. It typically charges lower commissions than traditional brokers while providing a more technology-driven experience.</w:t>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contrast, Opendoor purchases homes directly from sellers, offering convenience and speed. It uses proprietary data and algorithms to make competitive cash offers and sell the homes after making necessary repairs.</w:t>
      </w:r>
    </w:p>
    <w:p w:rsidR="00000000" w:rsidDel="00000000" w:rsidP="00000000" w:rsidRDefault="00000000" w:rsidRPr="00000000" w14:paraId="0000001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Zillow is less of a brokerage and more of an online marketplace. Marketplaces like Zillow focus on providing a comprehensive platform for property listings, research, and advertising. They generate revenue from advertising, leads, and partnerships in addition to offering services like Zillow Offers.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the industry continues to evolve, online real estate brokerages continue to base their competitive edge on providing cost savings, speed, convenience, and access to data and tools. They seek to streamline the real estate transaction process and redefine how properties are bought and sold.</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Some Possible KPIs</w:t>
      </w:r>
      <w:r w:rsidDel="00000000" w:rsidR="00000000" w:rsidRPr="00000000">
        <w:rPr>
          <w:rFonts w:ascii="Times New Roman" w:cs="Times New Roman" w:eastAsia="Times New Roman" w:hAnsi="Times New Roman"/>
          <w:b w:val="1"/>
          <w:sz w:val="24"/>
          <w:szCs w:val="24"/>
          <w:rtl w:val="0"/>
        </w:rPr>
        <w:t xml:space="preserve"> (: and Their Drivers)</w:t>
      </w:r>
      <w:r w:rsidDel="00000000" w:rsidR="00000000" w:rsidRPr="00000000">
        <w:rPr>
          <w:rtl w:val="0"/>
        </w:rPr>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Number of Property Listings:</w:t>
      </w:r>
      <w:r w:rsidDel="00000000" w:rsidR="00000000" w:rsidRPr="00000000">
        <w:rPr>
          <w:rFonts w:ascii="Times New Roman" w:cs="Times New Roman" w:eastAsia="Times New Roman" w:hAnsi="Times New Roman"/>
          <w:sz w:val="24"/>
          <w:szCs w:val="24"/>
          <w:rtl w:val="0"/>
        </w:rPr>
        <w:t xml:space="preserve"> Property acquisition efforts, partnerships with real estate agents, and user-generated content.</w:t>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Conversion Rate:</w:t>
      </w:r>
      <w:r w:rsidDel="00000000" w:rsidR="00000000" w:rsidRPr="00000000">
        <w:rPr>
          <w:rFonts w:ascii="Times New Roman" w:cs="Times New Roman" w:eastAsia="Times New Roman" w:hAnsi="Times New Roman"/>
          <w:sz w:val="24"/>
          <w:szCs w:val="24"/>
          <w:rtl w:val="0"/>
        </w:rPr>
        <w:t xml:space="preserve"> User experience optimization, compelling property listings, responsive customer support, and transparent pricing models.</w:t>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Average Sale Price:</w:t>
      </w:r>
      <w:r w:rsidDel="00000000" w:rsidR="00000000" w:rsidRPr="00000000">
        <w:rPr>
          <w:rFonts w:ascii="Times New Roman" w:cs="Times New Roman" w:eastAsia="Times New Roman" w:hAnsi="Times New Roman"/>
          <w:sz w:val="24"/>
          <w:szCs w:val="24"/>
          <w:rtl w:val="0"/>
        </w:rPr>
        <w:t xml:space="preserve"> Property market conditions, property types listed, geographical location, and upselling services.</w:t>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Customer Acquisition Cost (CAC):</w:t>
      </w:r>
      <w:r w:rsidDel="00000000" w:rsidR="00000000" w:rsidRPr="00000000">
        <w:rPr>
          <w:rFonts w:ascii="Times New Roman" w:cs="Times New Roman" w:eastAsia="Times New Roman" w:hAnsi="Times New Roman"/>
          <w:sz w:val="24"/>
          <w:szCs w:val="24"/>
          <w:rtl w:val="0"/>
        </w:rPr>
        <w:t xml:space="preserve"> Marketing and advertising expenses, conversion rate optimization, and customer referral programs.</w:t>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Revenue per User:</w:t>
      </w:r>
      <w:r w:rsidDel="00000000" w:rsidR="00000000" w:rsidRPr="00000000">
        <w:rPr>
          <w:rFonts w:ascii="Times New Roman" w:cs="Times New Roman" w:eastAsia="Times New Roman" w:hAnsi="Times New Roman"/>
          <w:sz w:val="24"/>
          <w:szCs w:val="24"/>
          <w:rtl w:val="0"/>
        </w:rPr>
        <w:t xml:space="preserve"> Cross-selling services, premium listings, and value-added offerings. For a site like Redfin, there is likely a strong distinction between “passive” users (those traversing the site to gather data, fulfill their own curiosities about the state of the market, etc.) and “active” users (those looking to purchase a home, those comparing multiple properties, etc.).</w:t>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Net Promoter Score (NPS):</w:t>
      </w:r>
      <w:r w:rsidDel="00000000" w:rsidR="00000000" w:rsidRPr="00000000">
        <w:rPr>
          <w:rFonts w:ascii="Times New Roman" w:cs="Times New Roman" w:eastAsia="Times New Roman" w:hAnsi="Times New Roman"/>
          <w:sz w:val="24"/>
          <w:szCs w:val="24"/>
          <w:rtl w:val="0"/>
        </w:rPr>
        <w:t xml:space="preserve"> Customer satisfaction, quality of service, and referral programs. This is almost surely impossible for us to ascertain, as it involves a great deal of proprietary company data that Redfin doubtless does not release to the public.</w:t>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Market Share:</w:t>
      </w:r>
      <w:r w:rsidDel="00000000" w:rsidR="00000000" w:rsidRPr="00000000">
        <w:rPr>
          <w:rFonts w:ascii="Times New Roman" w:cs="Times New Roman" w:eastAsia="Times New Roman" w:hAnsi="Times New Roman"/>
          <w:sz w:val="24"/>
          <w:szCs w:val="24"/>
          <w:rtl w:val="0"/>
        </w:rPr>
        <w:t xml:space="preserve"> Effective marketing, customer acquisition, expansion into new markets, and partnerships.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Part 2</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the dynamics of its website, digital presence, customer service, and the like surely affect Redfin’s revenue and profitability from quarter to quarter, it seems plausible that the biggest driver of Redfin’s revenue is simply a bundle of real estate metrics that combine to reflect the state of the housing market. Though Redfin can earn a competitive edge by differentiating itself from its competitors (digital and otherwise) in the ways listed in the previous part, Redfin’s profitability currents probably move first and foremost in accordance with the current state of the market in which the company is situated: American housing. Therefore, I imagine the following are the biggest KPIs for Redfin’s quarterly revenue, all of which I was able to construct using the Redfin Data Center:</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homes sold</w:t>
      </w:r>
    </w:p>
    <w:p w:rsidR="00000000" w:rsidDel="00000000" w:rsidP="00000000" w:rsidRDefault="00000000" w:rsidRPr="00000000" w14:paraId="00000024">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sale price</w:t>
      </w:r>
    </w:p>
    <w:p w:rsidR="00000000" w:rsidDel="00000000" w:rsidP="00000000" w:rsidRDefault="00000000" w:rsidRPr="00000000" w14:paraId="00000025">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homes sold with price drops (an indication of a souring market)</w:t>
      </w:r>
    </w:p>
    <w:p w:rsidR="00000000" w:rsidDel="00000000" w:rsidP="00000000" w:rsidRDefault="00000000" w:rsidRPr="00000000" w14:paraId="0000002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inventory (lower inventory means a tighter, faster-moving market)</w:t>
      </w:r>
    </w:p>
    <w:p w:rsidR="00000000" w:rsidDel="00000000" w:rsidP="00000000" w:rsidRDefault="00000000" w:rsidRPr="00000000" w14:paraId="0000002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days to sale (higher means a difficulty in moving units, and hence slower revenue growth)</w:t>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listings (a measure of sustained movement within the real estate market as a whole)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Apart from these fields, it is almost certain that several macroeconomic indicators, all of which are intrinsically connected to the health of the real estate market, may have additive predictive power for Redfin’s quarterly revenue. These may be the producer price index (PPI) for building supplies and materials; the general rate of inflation; the unemployment rate; average debt-to-income; and the like. Many if not all of these are readily available from the Federal Reserve Economic Data center, a.k.a “FRED.” Those that are not may be found via the Bureau of Labor Statistics (BLS), the U.S. Treasury, or other, more general public databases. I decided not to incorporate any of these “external” datasets for the time being, only because quarterly revenue is released (by its nature) so infrequently that the addition of extraneous regressors is virtually sure to tip bias-variance tradeoff in the direction of the latter.</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Part 3</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manually downloaded the Redfin Data Center data to a local .tsv file, then used Pandas to import it into a Jupyter environment as a dataframe. I also wrote some logic in the second cell of my attached Jupyter Notebook to check whether the Redfin data </w:t>
      </w:r>
      <w:r w:rsidDel="00000000" w:rsidR="00000000" w:rsidRPr="00000000">
        <w:rPr>
          <w:rFonts w:ascii="Times New Roman" w:cs="Times New Roman" w:eastAsia="Times New Roman" w:hAnsi="Times New Roman"/>
          <w:sz w:val="24"/>
          <w:szCs w:val="24"/>
          <w:rtl w:val="0"/>
        </w:rPr>
        <w:t xml:space="preserve">have</w:t>
      </w:r>
      <w:r w:rsidDel="00000000" w:rsidR="00000000" w:rsidRPr="00000000">
        <w:rPr>
          <w:rFonts w:ascii="Times New Roman" w:cs="Times New Roman" w:eastAsia="Times New Roman" w:hAnsi="Times New Roman"/>
          <w:sz w:val="24"/>
          <w:szCs w:val="24"/>
          <w:rtl w:val="0"/>
        </w:rPr>
        <w:t xml:space="preserve"> changed since the last manual download of the file. To accomplish this, I hash the file on my local machine, compare it to the hashed online version, and then download and replace the file if the hashes are unequal. If they are equal, I leave the local copy intact. This minimizes machine time, as it is faster to compare the hashes and determine that the data ought </w:t>
      </w:r>
      <w:r w:rsidDel="00000000" w:rsidR="00000000" w:rsidRPr="00000000">
        <w:rPr>
          <w:rFonts w:ascii="Times New Roman" w:cs="Times New Roman" w:eastAsia="Times New Roman" w:hAnsi="Times New Roman"/>
          <w:i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be replaced than it is to copy and replace the file each time the Jupyter Notebook is run.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generated an Excel output, called “Point72.xlsx” (attached) with most of the views and tables that I construct throughout my Jupyter Notebook. I assembled the notebook using </w:t>
      </w:r>
      <w:r w:rsidDel="00000000" w:rsidR="00000000" w:rsidRPr="00000000">
        <w:rPr>
          <w:rFonts w:ascii="Times New Roman" w:cs="Times New Roman" w:eastAsia="Times New Roman" w:hAnsi="Times New Roman"/>
          <w:sz w:val="24"/>
          <w:szCs w:val="24"/>
          <w:u w:val="single"/>
          <w:rtl w:val="0"/>
        </w:rPr>
        <w:t xml:space="preserve">openpyxl</w:t>
      </w:r>
      <w:r w:rsidDel="00000000" w:rsidR="00000000" w:rsidRPr="00000000">
        <w:rPr>
          <w:rFonts w:ascii="Times New Roman" w:cs="Times New Roman" w:eastAsia="Times New Roman" w:hAnsi="Times New Roman"/>
          <w:sz w:val="24"/>
          <w:szCs w:val="24"/>
          <w:rtl w:val="0"/>
        </w:rPr>
        <w:t xml:space="preserve">, listing the underlying Pandas table, the table I use to model quarterly revenue regressively toward the end, and all of the supporting KPI graphs on individual tabs.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Part 4</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comparing Redfin’s revenue each quarter with the KPIs I hypothesized (above) would effect a change in that revenue, I determined (not unexpectedly) that average sale price, inventory, and expected selling time (median days on market) correlated the best with quarterly revenue. Somewhat surprisingly, total units sold did not correlate especially well, though this makes sense in view of the fact that unit dynamics (price, waiting time, availability, etc.) probably have much more to do with point-in-time profitability than do unsegregated macro trends like housing </w:t>
      </w:r>
      <w:r w:rsidDel="00000000" w:rsidR="00000000" w:rsidRPr="00000000">
        <w:rPr>
          <w:rFonts w:ascii="Times New Roman" w:cs="Times New Roman" w:eastAsia="Times New Roman" w:hAnsi="Times New Roman"/>
          <w:i w:val="1"/>
          <w:sz w:val="24"/>
          <w:szCs w:val="24"/>
          <w:rtl w:val="0"/>
        </w:rPr>
        <w:t xml:space="preserve">volume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wrote the Python script so that once Redfin refreshes its data center, a new version of the .tsv file will be downloaded, and all of the backend SQL queries will be refreshed, in turn creating a new version of the regressive model that predicts revenue, as well as a refreshed copy of all KPI views in a newly downloaded version of the Excel notebook. This process will only occur when the copy of the Redfin data is found to be different (i.e., when it is updated) from our local .tsv copy; if it is the same, there is no new data to reincorporate into either our Excel workbook or the model, and therefore no change occurs.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Part 5</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fact that we have had (up until September 3rd, when the Redfin data last refreshed) 63 (July 1st to September 3rd) out of 90 days worth of data from 2023Q3 in the Redfin data center, I scaled the non-proportional values in our list of hypothetical revenue indicators (total homes sold, average sale prices, inventory, new listings) by multiplying them all by 90/63 (~1.43). (Proportional metrics, like proportion of homes sold with a reduced price, and “waiting time” metrics, like median days on market, would not be expected to scale linearly during the remainder of the quarter, and therefore I based them only on the first 63 days of 2023Q3). I then used the scaled 2023Q3 to-date data in my regressive model (R2 = 74%) and got a 2023Q3 estimated revenue of </w:t>
      </w:r>
      <w:r w:rsidDel="00000000" w:rsidR="00000000" w:rsidRPr="00000000">
        <w:rPr>
          <w:rFonts w:ascii="Times New Roman" w:cs="Times New Roman" w:eastAsia="Times New Roman" w:hAnsi="Times New Roman"/>
          <w:b w:val="1"/>
          <w:sz w:val="24"/>
          <w:szCs w:val="24"/>
          <w:rtl w:val="0"/>
        </w:rPr>
        <w:t xml:space="preserve">$529MM.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seems somewhat high, but not unbelievably so. Quarterly revenue was higher than this as recently as 2022Q3, and before that was never so low since 2021Q2. Compared to 2022Q3, all-in average sale price is similar, as is inventory, while a lower median-days-on-market figure points to an even speedier market and lower new listings point to tighter selling conditions. The bottom-line estimate therefore preliminarily makes both quantitative and qualitative sense.</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Caveats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current line of work, I have never leveraged (a) dataset(s) for the purpose of forecasting revenue for a company of which I have no part. This skillset is, in truth, novel to me. I hope the rigor of my code, the profundity of my thought, and the thoughtfulness with which I have scrutinized the issue will nonetheless evidence that, though my practical experience in this domain is limited, I possess a foundation for the skillset that will enable me to succeed in it at a place like Point72.</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Pellegrino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