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4191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191000" cy="3667125"/>
                    </a:xfrm>
                    <a:prstGeom prst="rect">
                      <a:avLst/>
                    </a:prstGeom>
                  </pic:spPr>
                </pic:pic>
              </a:graphicData>
            </a:graphic>
          </wp:inline>
        </w:drawing>
      </w:r>
    </w:p>
    <w:p>
      <w:pPr>
        <w:spacing w:after="120"/>
        <w:jc w:val="center"/>
      </w:pPr>
      <w:r>
        <w:rPr>
          <w:rFonts w:ascii="Arial" w:cs="Arial" w:eastAsia="Arial" w:hAnsi="Arial"/>
          <w:b/>
          <w:bCs/>
          <w:color w:val="27AE60"/>
          <w:sz w:val="80"/>
          <w:szCs w:val="80"/>
        </w:rPr>
        <w:t xml:space="preserve">GreenSyndic</w:t>
      </w:r>
    </w:p>
    <w:p>
      <w:pPr>
        <w:spacing w:after="60"/>
        <w:jc w:val="center"/>
      </w:pPr>
      <w:r>
        <w:rPr>
          <w:rFonts w:ascii="Arial" w:cs="Arial" w:eastAsia="Arial" w:hAnsi="Arial"/>
          <w:b/>
          <w:bCs/>
          <w:color w:val="154360"/>
          <w:sz w:val="40"/>
          <w:szCs w:val="40"/>
        </w:rPr>
        <w:t xml:space="preserve">CAHIER DES SPÉCIFICATIONS</w:t>
      </w:r>
    </w:p>
    <w:p>
      <w:pPr>
        <w:spacing w:after="80"/>
        <w:jc w:val="center"/>
      </w:pPr>
      <w:r>
        <w:rPr>
          <w:rFonts w:ascii="Arial" w:cs="Arial" w:eastAsia="Arial" w:hAnsi="Arial"/>
          <w:b/>
          <w:bCs/>
          <w:color w:val="154360"/>
          <w:sz w:val="40"/>
          <w:szCs w:val="40"/>
        </w:rPr>
        <w:t xml:space="preserve">FONCTIONNELLES ET TECHNIQUES</w:t>
      </w:r>
    </w:p>
    <w:p>
      <w:pPr>
        <w:pBdr>
          <w:top w:val="single" w:color="1B4F72" w:sz="6" w:space="6"/>
          <w:bottom w:val="single" w:color="1B4F72" w:sz="6" w:space="6"/>
        </w:pBdr>
        <w:spacing w:before="80" w:after="80"/>
        <w:jc w:val="center"/>
      </w:pPr>
      <w:r>
        <w:rPr>
          <w:rFonts w:ascii="Arial" w:cs="Arial" w:eastAsia="Arial" w:hAnsi="Arial"/>
          <w:b/>
          <w:bCs/>
          <w:color w:val="1B4F72"/>
          <w:sz w:val="28"/>
          <w:szCs w:val="28"/>
        </w:rPr>
        <w:t xml:space="preserve">Logiciel de gestion d'ensembles immobiliers mixtes</w:t>
      </w:r>
    </w:p>
    <w:p>
      <w:pPr>
        <w:spacing w:after="200"/>
        <w:jc w:val="center"/>
      </w:pPr>
      <w:r>
        <w:rPr>
          <w:rFonts w:ascii="Arial" w:cs="Arial" w:eastAsia="Arial" w:hAnsi="Arial"/>
          <w:color w:val="7F8C8D"/>
          <w:sz w:val="22"/>
          <w:szCs w:val="22"/>
        </w:rPr>
        <w:t xml:space="preserve">Résidentiel &amp; Commercial | Desktop &amp; Mobile | Multi-pays OHADA</w:t>
      </w:r>
    </w:p>
    <w:p>
      <w:pPr>
        <w:spacing w:after="200"/>
      </w:pPr>
    </w:p>
    <w:p>
      <w:pPr>
        <w:spacing w:after="200"/>
      </w:pPr>
    </w:p>
    <w:p>
      <w:pPr>
        <w:spacing w:after="200"/>
      </w:pPr>
    </w:p>
    <w:p>
      <w:pPr>
        <w:spacing w:after="200"/>
      </w:pPr>
    </w:p>
    <w:p>
      <w:pPr>
        <w:spacing w:after="200"/>
      </w:pPr>
    </w:p>
    <w:p>
      <w:pPr>
        <w:spacing w:after="40"/>
        <w:jc w:val="center"/>
      </w:pPr>
      <w:r>
        <w:rPr>
          <w:rFonts w:ascii="Arial" w:cs="Arial" w:eastAsia="Arial" w:hAnsi="Arial"/>
          <w:color w:val="7F8C8D"/>
          <w:sz w:val="22"/>
          <w:szCs w:val="22"/>
        </w:rPr>
        <w:t xml:space="preserve">GreenSyndic v1.0 — Mars 2026</w:t>
      </w:r>
    </w:p>
    <w:p>
      <w:pPr>
        <w:jc w:val="center"/>
      </w:pPr>
      <w:r>
        <w:rPr>
          <w:rFonts w:ascii="Arial" w:cs="Arial" w:eastAsia="Arial" w:hAnsi="Arial"/>
          <w:i/>
          <w:iCs/>
          <w:color w:val="7F8C8D"/>
          <w:sz w:val="20"/>
          <w:szCs w:val="20"/>
        </w:rPr>
        <w:t xml:space="preserve">Premier déploiement : Green City Bassam (COFIPRI) — Grand Bassam, Côte d'Ivoire</w:t>
      </w:r>
    </w:p>
    <w:p>
      <w:pPr>
        <w:sectPr>
          <w:pgSz w:w="11906" w:h="16838" w:orient="portrait"/>
          <w:pgMar w:top="500" w:right="1440" w:bottom="720" w:left="144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Contexte et objectifs</w:t>
      </w:r>
    </w:p>
    <w:p>
      <w:pPr>
        <w:pStyle w:val="Heading2"/>
      </w:pPr>
      <w:r>
        <w:t xml:space="preserve">1.1 Présentation du projet</w:t>
      </w:r>
    </w:p>
    <w:p>
      <w:pPr>
        <w:spacing w:after="120"/>
      </w:pPr>
      <w:r>
        <w:rPr>
          <w:rFonts w:ascii="Arial" w:cs="Arial" w:eastAsia="Arial" w:hAnsi="Arial"/>
          <w:color w:val="333333"/>
          <w:sz w:val="22"/>
          <w:szCs w:val="22"/>
        </w:rPr>
        <w:t xml:space="preserve">Ce document détaille les spécifications pour un logiciel de gestion intégré d'un ensemble immobilier mixte GREEN CITY BASSAM, développé par COFIPRI (holding luxembourgeoise) à Grand Bassam, Côte d'Ivoire. Le projet couvre environ 400 propriétaires (maisons et appartements), avec une proportion significative de biens loués, ainsi que des entités commerciales et de services : centre commercial, cinéma, école et salle de sport.</w:t>
      </w:r>
    </w:p>
    <w:p>
      <w:pPr>
        <w:spacing w:after="120"/>
      </w:pPr>
      <w:r>
        <w:rPr>
          <w:rFonts w:ascii="Arial" w:cs="Arial" w:eastAsia="Arial" w:hAnsi="Arial"/>
          <w:color w:val="333333"/>
          <w:sz w:val="22"/>
          <w:szCs w:val="22"/>
        </w:rPr>
        <w:t xml:space="preserve">L'analyse de 8 solutions du marché (VILOGI, Powimo/Seiitra, SPI Syndic/Septeo, KEL Syndic 360/Orisha, Matera, Coprolib', Copriciel, Comptacop) a permis d'identifier les meilleures pratiques et les lacunes à combler pour répondre aux besoins spécifiques de ce type d'ensemble mixte.</w:t>
      </w:r>
    </w:p>
    <w:p>
      <w:pPr>
        <w:pStyle w:val="Heading2"/>
      </w:pPr>
      <w:r>
        <w:t xml:space="preserve">1.2 Objectifs stratégiques</w:t>
      </w:r>
    </w:p>
    <w:p>
      <w:pPr>
        <w:pStyle w:val="ListParagraph"/>
        <w:numPr>
          <w:ilvl w:val="0"/>
          <w:numId w:val="2"/>
        </w:numPr>
        <w:spacing w:after="60"/>
      </w:pPr>
      <w:r>
        <w:rPr>
          <w:rFonts w:ascii="Arial" w:cs="Arial" w:eastAsia="Arial" w:hAnsi="Arial"/>
          <w:sz w:val="20"/>
          <w:szCs w:val="20"/>
        </w:rPr>
        <w:t xml:space="preserve">Offrir une plateforme unique couvrant l'intégralité du périmètre : résidentiel, commercial et services</w:t>
      </w:r>
    </w:p>
    <w:p>
      <w:pPr>
        <w:pStyle w:val="ListParagraph"/>
        <w:numPr>
          <w:ilvl w:val="0"/>
          <w:numId w:val="2"/>
        </w:numPr>
        <w:spacing w:after="60"/>
      </w:pPr>
      <w:r>
        <w:rPr>
          <w:rFonts w:ascii="Arial" w:cs="Arial" w:eastAsia="Arial" w:hAnsi="Arial"/>
          <w:sz w:val="20"/>
          <w:szCs w:val="20"/>
        </w:rPr>
        <w:t xml:space="preserve">Fournir 3 applications distinctes : Syndic (desktop + mobile), Propriétaire (mobile), Locataire (mobile)</w:t>
      </w:r>
    </w:p>
    <w:p>
      <w:pPr>
        <w:pStyle w:val="ListParagraph"/>
        <w:numPr>
          <w:ilvl w:val="0"/>
          <w:numId w:val="2"/>
        </w:numPr>
        <w:spacing w:after="60"/>
      </w:pPr>
      <w:r>
        <w:rPr>
          <w:rFonts w:ascii="Arial" w:cs="Arial" w:eastAsia="Arial" w:hAnsi="Arial"/>
          <w:sz w:val="20"/>
          <w:szCs w:val="20"/>
        </w:rPr>
        <w:t xml:space="preserve">Automatiser 90% des tâches administratives et comptables récurrentes (benchmark Matera)</w:t>
      </w:r>
    </w:p>
    <w:p>
      <w:pPr>
        <w:pStyle w:val="ListParagraph"/>
        <w:numPr>
          <w:ilvl w:val="0"/>
          <w:numId w:val="2"/>
        </w:numPr>
        <w:spacing w:after="60"/>
      </w:pPr>
      <w:r>
        <w:rPr>
          <w:rFonts w:ascii="Arial" w:cs="Arial" w:eastAsia="Arial" w:hAnsi="Arial"/>
          <w:sz w:val="20"/>
          <w:szCs w:val="20"/>
        </w:rPr>
        <w:t xml:space="preserve">Garantir la conformité au Code de la Construction et de l'Habitat (Loi 2019-576), à l'OHADA (AUDCG) et à la Loi 2013-450 (protection des données)</w:t>
      </w:r>
    </w:p>
    <w:p>
      <w:pPr>
        <w:pStyle w:val="ListParagraph"/>
        <w:numPr>
          <w:ilvl w:val="0"/>
          <w:numId w:val="2"/>
        </w:numPr>
        <w:spacing w:after="60"/>
      </w:pPr>
      <w:r>
        <w:rPr>
          <w:rFonts w:ascii="Arial" w:cs="Arial" w:eastAsia="Arial" w:hAnsi="Arial"/>
          <w:sz w:val="20"/>
          <w:szCs w:val="20"/>
        </w:rPr>
        <w:t xml:space="preserve">Supporter un volume de 400+ propriétaires et 1000+ lots avec performance optimale</w:t>
      </w:r>
    </w:p>
    <w:p>
      <w:pPr>
        <w:pStyle w:val="ListParagraph"/>
        <w:numPr>
          <w:ilvl w:val="0"/>
          <w:numId w:val="2"/>
        </w:numPr>
        <w:spacing w:after="60"/>
      </w:pPr>
      <w:r>
        <w:rPr>
          <w:rFonts w:ascii="Arial" w:cs="Arial" w:eastAsia="Arial" w:hAnsi="Arial"/>
          <w:sz w:val="20"/>
          <w:szCs w:val="20"/>
        </w:rPr>
        <w:t xml:space="preserve">Intégrer des API ouvertes pour connecter des partenaires tiers (inspiration VILOGI et KEL Syndic 360)</w:t>
      </w:r>
    </w:p>
    <w:p>
      <w:pPr>
        <w:pStyle w:val="ListParagraph"/>
        <w:numPr>
          <w:ilvl w:val="0"/>
          <w:numId w:val="2"/>
        </w:numPr>
        <w:spacing w:after="60"/>
      </w:pPr>
      <w:r>
        <w:rPr>
          <w:rFonts w:ascii="Arial" w:cs="Arial" w:eastAsia="Arial" w:hAnsi="Arial"/>
          <w:sz w:val="20"/>
          <w:szCs w:val="20"/>
        </w:rPr>
        <w:t xml:space="preserve">Concevoir un logiciel 100% générique et revendable : Green City Bassam est le premier déploiement, mais toute la structure (entités, noms, taux, pays) est paramétrable pour d'autres ensembles</w:t>
      </w:r>
    </w:p>
    <w:p>
      <w:pPr>
        <w:pStyle w:val="ListParagraph"/>
        <w:numPr>
          <w:ilvl w:val="0"/>
          <w:numId w:val="2"/>
        </w:numPr>
        <w:spacing w:after="60"/>
      </w:pPr>
      <w:r>
        <w:rPr>
          <w:rFonts w:ascii="Arial" w:cs="Arial" w:eastAsia="Arial" w:hAnsi="Arial"/>
          <w:sz w:val="20"/>
          <w:szCs w:val="20"/>
        </w:rPr>
        <w:t xml:space="preserve">Garantir l'interopérabilité avec les systèmes existants des grandes entités (COSMOS, Novamed, etc.) via import/export Excel et API REST ouvertes</w:t>
      </w:r>
    </w:p>
    <w:p>
      <w:pPr>
        <w:pStyle w:val="Heading2"/>
      </w:pPr>
      <w:r>
        <w:t xml:space="preserve">1.3 Profils utilisateurs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726"/>
        <w:gridCol w:w="20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Profil</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Plateforme</w:t>
            </w:r>
          </w:p>
        </w:tc>
        <w:tc>
          <w:tcPr>
            <w:tcW w:type="dxa" w:w="37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Volume estimé</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 Gestionnaire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Desktop + Mobile</w:t>
            </w:r>
          </w:p>
        </w:tc>
        <w:tc>
          <w:tcPr>
            <w:tcW w:type="dxa" w:w="37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 globale : comptabilité, AG, travaux, communication</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5-15 utilisateurs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Propriétaire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Web mobile (PWA)</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comptes, votes AG, paiements, 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~400 utilisateurs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Locataire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Web mobile (PWA)</w:t>
            </w:r>
          </w:p>
        </w:tc>
        <w:tc>
          <w:tcPr>
            <w:tcW w:type="dxa" w:w="37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Quittances, incidents, communication, paiements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~200-300 utilisateurs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Conseil syndical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Web mobile (PWA) + Desktop</w:t>
            </w:r>
          </w:p>
        </w:tc>
        <w:tc>
          <w:tcPr>
            <w:tcW w:type="dxa" w:w="37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Contrôle comptes, validation, suivi travaux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5-10 membres</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Prestataire/Fournisseur</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Portail web</w:t>
            </w:r>
          </w:p>
        </w:tc>
        <w:tc>
          <w:tcPr>
            <w:tcW w:type="dxa" w:w="37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Ordres de service, factures, suivi interventions</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~50-100</w:t>
            </w:r>
          </w:p>
        </w:tc>
      </w:tr>
    </w:tbl>
    <w:p>
      <w:pPr>
        <w:spacing w:after="200"/>
      </w:pPr>
    </w:p>
    <w:p>
      <w:pPr>
        <w:pStyle w:val="Heading2"/>
      </w:pPr>
      <w:r>
        <w:t xml:space="preserve">1.4 Cadre juridique applicable en Côte d'Ivoire</w:t>
      </w:r>
    </w:p>
    <w:p>
      <w:pPr>
        <w:spacing w:after="120"/>
      </w:pPr>
      <w:r>
        <w:rPr>
          <w:rFonts w:ascii="Arial" w:cs="Arial" w:eastAsia="Arial" w:hAnsi="Arial"/>
          <w:b/>
          <w:bCs/>
          <w:color w:val="333333"/>
          <w:sz w:val="22"/>
          <w:szCs w:val="22"/>
        </w:rPr>
        <w:t xml:space="preserve">Le logiciel doit intégrer nativement les dispositions suivantes du droit ivoirien et du droit OHADA :</w:t>
      </w:r>
    </w:p>
    <w:p>
      <w:pPr>
        <w:spacing w:after="200"/>
      </w:pPr>
    </w:p>
    <w:p>
      <w:pPr>
        <w:spacing w:after="120"/>
      </w:pPr>
      <w:r>
        <w:rPr>
          <w:rFonts w:ascii="Arial" w:cs="Arial" w:eastAsia="Arial" w:hAnsi="Arial"/>
          <w:b/>
          <w:bCs/>
          <w:color w:val="1B4F72"/>
          <w:sz w:val="22"/>
          <w:szCs w:val="22"/>
        </w:rPr>
        <w:t xml:space="preserve">COPROPRIÉTÉ</w:t>
      </w:r>
    </w:p>
    <w:p>
      <w:pPr>
        <w:pStyle w:val="ListParagraph"/>
        <w:numPr>
          <w:ilvl w:val="0"/>
          <w:numId w:val="2"/>
        </w:numPr>
        <w:spacing w:after="60"/>
      </w:pPr>
      <w:r>
        <w:rPr>
          <w:rFonts w:ascii="Arial" w:cs="Arial" w:eastAsia="Arial" w:hAnsi="Arial"/>
          <w:sz w:val="20"/>
          <w:szCs w:val="20"/>
        </w:rPr>
        <w:t xml:space="preserve">Loi n°2019-576 du 26 juin 2019 — Code de la Construction et de l'Habitat (Livre V : art. 385-397)</w:t>
      </w:r>
    </w:p>
    <w:p>
      <w:pPr>
        <w:pStyle w:val="ListParagraph"/>
        <w:numPr>
          <w:ilvl w:val="0"/>
          <w:numId w:val="2"/>
        </w:numPr>
        <w:spacing w:after="60"/>
      </w:pPr>
      <w:r>
        <w:rPr>
          <w:rFonts w:ascii="Arial" w:cs="Arial" w:eastAsia="Arial" w:hAnsi="Arial"/>
          <w:sz w:val="20"/>
          <w:szCs w:val="20"/>
        </w:rPr>
        <w:t xml:space="preserve">Art. 385-387 : Syndicat des copropriétaires, personnalité morale automatique, cotisations</w:t>
      </w:r>
    </w:p>
    <w:p>
      <w:pPr>
        <w:pStyle w:val="ListParagraph"/>
        <w:numPr>
          <w:ilvl w:val="0"/>
          <w:numId w:val="2"/>
        </w:numPr>
        <w:spacing w:after="60"/>
      </w:pPr>
      <w:r>
        <w:rPr>
          <w:rFonts w:ascii="Arial" w:cs="Arial" w:eastAsia="Arial" w:hAnsi="Arial"/>
          <w:sz w:val="20"/>
          <w:szCs w:val="20"/>
        </w:rPr>
        <w:t xml:space="preserve">Art. 388-391 : Assemblée générale, convocation par le conseil syndical, consultation comptable</w:t>
      </w:r>
    </w:p>
    <w:p>
      <w:pPr>
        <w:pStyle w:val="ListParagraph"/>
        <w:numPr>
          <w:ilvl w:val="0"/>
          <w:numId w:val="2"/>
        </w:numPr>
        <w:spacing w:after="60"/>
      </w:pPr>
      <w:r>
        <w:rPr>
          <w:rFonts w:ascii="Arial" w:cs="Arial" w:eastAsia="Arial" w:hAnsi="Arial"/>
          <w:sz w:val="20"/>
          <w:szCs w:val="20"/>
        </w:rPr>
        <w:t xml:space="preserve">Art. 392-393 : Conseil syndical (min. 3 copropriétaires à jour), contrôle de gestion, commissaire aux comptes</w:t>
      </w:r>
    </w:p>
    <w:p>
      <w:pPr>
        <w:pStyle w:val="ListParagraph"/>
        <w:numPr>
          <w:ilvl w:val="0"/>
          <w:numId w:val="2"/>
        </w:numPr>
        <w:spacing w:after="60"/>
      </w:pPr>
      <w:r>
        <w:rPr>
          <w:rFonts w:ascii="Arial" w:cs="Arial" w:eastAsia="Arial" w:hAnsi="Arial"/>
          <w:sz w:val="20"/>
          <w:szCs w:val="20"/>
        </w:rPr>
        <w:t xml:space="preserve">Art. 394-395 : Missions du syndic — conservation, comptabilité, personnel, règlement de copropriété</w:t>
      </w:r>
    </w:p>
    <w:p>
      <w:pPr>
        <w:pStyle w:val="ListParagraph"/>
        <w:numPr>
          <w:ilvl w:val="0"/>
          <w:numId w:val="2"/>
        </w:numPr>
        <w:spacing w:after="60"/>
      </w:pPr>
      <w:r>
        <w:rPr>
          <w:rFonts w:ascii="Arial" w:cs="Arial" w:eastAsia="Arial" w:hAnsi="Arial"/>
          <w:sz w:val="20"/>
          <w:szCs w:val="20"/>
        </w:rPr>
        <w:t xml:space="preserve">Art. 396 : Syndic désigné sur liste agréée par le Ministre chargé du Logement, arrêté d'entérinement</w:t>
      </w:r>
    </w:p>
    <w:p>
      <w:pPr>
        <w:pStyle w:val="ListParagraph"/>
        <w:numPr>
          <w:ilvl w:val="0"/>
          <w:numId w:val="2"/>
        </w:numPr>
        <w:spacing w:after="60"/>
      </w:pPr>
      <w:r>
        <w:rPr>
          <w:rFonts w:ascii="Arial" w:cs="Arial" w:eastAsia="Arial" w:hAnsi="Arial"/>
          <w:sz w:val="20"/>
          <w:szCs w:val="20"/>
        </w:rPr>
        <w:t xml:space="preserve">Art. 397 : Rémunération du syndic plafonnée à 30% max des cotisations</w:t>
      </w:r>
    </w:p>
    <w:p>
      <w:pPr>
        <w:pStyle w:val="ListParagraph"/>
        <w:numPr>
          <w:ilvl w:val="0"/>
          <w:numId w:val="2"/>
        </w:numPr>
        <w:spacing w:after="60"/>
      </w:pPr>
      <w:r>
        <w:rPr>
          <w:rFonts w:ascii="Arial" w:cs="Arial" w:eastAsia="Arial" w:hAnsi="Arial"/>
          <w:sz w:val="20"/>
          <w:szCs w:val="20"/>
        </w:rPr>
        <w:t xml:space="preserve">Loi n°65-255 du 2 juillet 1965 et décret n°66-373 du 14 octobre 1966 (textes historiques sur la copropriété)</w:t>
      </w:r>
    </w:p>
    <w:p>
      <w:pPr>
        <w:spacing w:after="200"/>
      </w:pPr>
    </w:p>
    <w:p>
      <w:pPr>
        <w:spacing w:after="120"/>
      </w:pPr>
      <w:r>
        <w:rPr>
          <w:rFonts w:ascii="Arial" w:cs="Arial" w:eastAsia="Arial" w:hAnsi="Arial"/>
          <w:b/>
          <w:bCs/>
          <w:color w:val="1B4F72"/>
          <w:sz w:val="22"/>
          <w:szCs w:val="22"/>
        </w:rPr>
        <w:t xml:space="preserve">BAIL D'HABITATION</w:t>
      </w:r>
    </w:p>
    <w:p>
      <w:pPr>
        <w:pStyle w:val="ListParagraph"/>
        <w:numPr>
          <w:ilvl w:val="0"/>
          <w:numId w:val="2"/>
        </w:numPr>
        <w:spacing w:after="60"/>
      </w:pPr>
      <w:r>
        <w:rPr>
          <w:rFonts w:ascii="Arial" w:cs="Arial" w:eastAsia="Arial" w:hAnsi="Arial"/>
          <w:sz w:val="20"/>
          <w:szCs w:val="20"/>
        </w:rPr>
        <w:t xml:space="preserve">Code CCH, art. 414-450 : contrat écrit obligatoire, durée déterminée ou indéterminée</w:t>
      </w:r>
    </w:p>
    <w:p>
      <w:pPr>
        <w:pStyle w:val="ListParagraph"/>
        <w:numPr>
          <w:ilvl w:val="0"/>
          <w:numId w:val="2"/>
        </w:numPr>
        <w:spacing w:after="60"/>
      </w:pPr>
      <w:r>
        <w:rPr>
          <w:rFonts w:ascii="Arial" w:cs="Arial" w:eastAsia="Arial" w:hAnsi="Arial"/>
          <w:sz w:val="20"/>
          <w:szCs w:val="20"/>
        </w:rPr>
        <w:t xml:space="preserve">Art. 416 : Caution limitée à 2 mois de loyer maximum</w:t>
      </w:r>
    </w:p>
    <w:p>
      <w:pPr>
        <w:pStyle w:val="ListParagraph"/>
        <w:numPr>
          <w:ilvl w:val="0"/>
          <w:numId w:val="2"/>
        </w:numPr>
        <w:spacing w:after="60"/>
      </w:pPr>
      <w:r>
        <w:rPr>
          <w:rFonts w:ascii="Arial" w:cs="Arial" w:eastAsia="Arial" w:hAnsi="Arial"/>
          <w:sz w:val="20"/>
          <w:szCs w:val="20"/>
        </w:rPr>
        <w:t xml:space="preserve">Art. 421-424 : Loyer librement fixé, révisable tous les 3 ans avec préavis de 3 mois</w:t>
      </w:r>
    </w:p>
    <w:p>
      <w:pPr>
        <w:pStyle w:val="ListParagraph"/>
        <w:numPr>
          <w:ilvl w:val="0"/>
          <w:numId w:val="2"/>
        </w:numPr>
        <w:spacing w:after="60"/>
      </w:pPr>
      <w:r>
        <w:rPr>
          <w:rFonts w:ascii="Arial" w:cs="Arial" w:eastAsia="Arial" w:hAnsi="Arial"/>
          <w:sz w:val="20"/>
          <w:szCs w:val="20"/>
        </w:rPr>
        <w:t xml:space="preserve">Art. 425 : Obligation de délivrer une quittance au locataire</w:t>
      </w:r>
    </w:p>
    <w:p>
      <w:pPr>
        <w:pStyle w:val="ListParagraph"/>
        <w:numPr>
          <w:ilvl w:val="0"/>
          <w:numId w:val="2"/>
        </w:numPr>
        <w:spacing w:after="60"/>
      </w:pPr>
      <w:r>
        <w:rPr>
          <w:rFonts w:ascii="Arial" w:cs="Arial" w:eastAsia="Arial" w:hAnsi="Arial"/>
          <w:sz w:val="20"/>
          <w:szCs w:val="20"/>
        </w:rPr>
        <w:t xml:space="preserve">Art. 427-429 : État des lieux contradictoire, logement décent, équipements en bon état</w:t>
      </w:r>
    </w:p>
    <w:p>
      <w:pPr>
        <w:pStyle w:val="ListParagraph"/>
        <w:numPr>
          <w:ilvl w:val="0"/>
          <w:numId w:val="2"/>
        </w:numPr>
        <w:spacing w:after="60"/>
      </w:pPr>
      <w:r>
        <w:rPr>
          <w:rFonts w:ascii="Arial" w:cs="Arial" w:eastAsia="Arial" w:hAnsi="Arial"/>
          <w:sz w:val="20"/>
          <w:szCs w:val="20"/>
        </w:rPr>
        <w:t xml:space="preserve">Art. 417 : Charges récupérables limitées à la consommation (énergie, eau, gaz, entretien courant)</w:t>
      </w:r>
    </w:p>
    <w:p>
      <w:pPr>
        <w:spacing w:after="200"/>
      </w:pPr>
    </w:p>
    <w:p>
      <w:pPr>
        <w:spacing w:after="120"/>
      </w:pPr>
      <w:r>
        <w:rPr>
          <w:rFonts w:ascii="Arial" w:cs="Arial" w:eastAsia="Arial" w:hAnsi="Arial"/>
          <w:b/>
          <w:bCs/>
          <w:color w:val="1B4F72"/>
          <w:sz w:val="22"/>
          <w:szCs w:val="22"/>
        </w:rPr>
        <w:t xml:space="preserve">BAIL COMMERCIAL / PROFESSIONNEL</w:t>
      </w:r>
    </w:p>
    <w:p>
      <w:pPr>
        <w:pStyle w:val="ListParagraph"/>
        <w:numPr>
          <w:ilvl w:val="0"/>
          <w:numId w:val="2"/>
        </w:numPr>
        <w:spacing w:after="60"/>
      </w:pPr>
      <w:r>
        <w:rPr>
          <w:rFonts w:ascii="Arial" w:cs="Arial" w:eastAsia="Arial" w:hAnsi="Arial"/>
          <w:sz w:val="20"/>
          <w:szCs w:val="20"/>
        </w:rPr>
        <w:t xml:space="preserve">Loi n°80-1069 du 13 septembre 1980 et décret n°81-148 : renouvellement des baux commerciaux</w:t>
      </w:r>
    </w:p>
    <w:p>
      <w:pPr>
        <w:pStyle w:val="ListParagraph"/>
        <w:numPr>
          <w:ilvl w:val="0"/>
          <w:numId w:val="2"/>
        </w:numPr>
        <w:spacing w:after="60"/>
      </w:pPr>
      <w:r>
        <w:rPr>
          <w:rFonts w:ascii="Arial" w:cs="Arial" w:eastAsia="Arial" w:hAnsi="Arial"/>
          <w:sz w:val="20"/>
          <w:szCs w:val="20"/>
        </w:rPr>
        <w:t xml:space="preserve">Acte Uniforme OHADA — Droit Commercial Général (AUDCG), art. 101-134 : bail à usage professionnel</w:t>
      </w:r>
    </w:p>
    <w:p>
      <w:pPr>
        <w:pStyle w:val="ListParagraph"/>
        <w:numPr>
          <w:ilvl w:val="0"/>
          <w:numId w:val="2"/>
        </w:numPr>
        <w:spacing w:after="60"/>
      </w:pPr>
      <w:r>
        <w:rPr>
          <w:rFonts w:ascii="Arial" w:cs="Arial" w:eastAsia="Arial" w:hAnsi="Arial"/>
          <w:sz w:val="20"/>
          <w:szCs w:val="20"/>
        </w:rPr>
        <w:t xml:space="preserve">AUDCG art. 103 : Durée libre, congé à 6 mois minimum, droit au renouvellement après 3 ans</w:t>
      </w:r>
    </w:p>
    <w:p>
      <w:pPr>
        <w:pStyle w:val="ListParagraph"/>
        <w:numPr>
          <w:ilvl w:val="0"/>
          <w:numId w:val="2"/>
        </w:numPr>
        <w:spacing w:after="60"/>
      </w:pPr>
      <w:r>
        <w:rPr>
          <w:rFonts w:ascii="Arial" w:cs="Arial" w:eastAsia="Arial" w:hAnsi="Arial"/>
          <w:sz w:val="20"/>
          <w:szCs w:val="20"/>
        </w:rPr>
        <w:t xml:space="preserve">AUDCG art. 116 : Loyer révisable tous les 3 ans selon indice des prix des loyers</w:t>
      </w:r>
    </w:p>
    <w:p>
      <w:pPr>
        <w:pStyle w:val="ListParagraph"/>
        <w:numPr>
          <w:ilvl w:val="0"/>
          <w:numId w:val="2"/>
        </w:numPr>
        <w:spacing w:after="60"/>
      </w:pPr>
      <w:r>
        <w:rPr>
          <w:rFonts w:ascii="Arial" w:cs="Arial" w:eastAsia="Arial" w:hAnsi="Arial"/>
          <w:sz w:val="20"/>
          <w:szCs w:val="20"/>
        </w:rPr>
        <w:t xml:space="preserve">AUDCG art. 124-125 : Indemnité d'éviction en cas de refus de renouvellement injustifié</w:t>
      </w:r>
    </w:p>
    <w:p>
      <w:pPr>
        <w:spacing w:after="200"/>
      </w:pPr>
    </w:p>
    <w:p>
      <w:pPr>
        <w:spacing w:after="120"/>
      </w:pPr>
      <w:r>
        <w:rPr>
          <w:rFonts w:ascii="Arial" w:cs="Arial" w:eastAsia="Arial" w:hAnsi="Arial"/>
          <w:b/>
          <w:bCs/>
          <w:color w:val="1B4F72"/>
          <w:sz w:val="22"/>
          <w:szCs w:val="22"/>
        </w:rPr>
        <w:t xml:space="preserve">PROTECTION DES DONNÉES</w:t>
      </w:r>
    </w:p>
    <w:p>
      <w:pPr>
        <w:pStyle w:val="ListParagraph"/>
        <w:numPr>
          <w:ilvl w:val="0"/>
          <w:numId w:val="2"/>
        </w:numPr>
        <w:spacing w:after="60"/>
      </w:pPr>
      <w:r>
        <w:rPr>
          <w:rFonts w:ascii="Arial" w:cs="Arial" w:eastAsia="Arial" w:hAnsi="Arial"/>
          <w:sz w:val="20"/>
          <w:szCs w:val="20"/>
        </w:rPr>
        <w:t xml:space="preserve">Loi n°2013-450 du 19 juin 2013 — Protection des données à caractère personnel</w:t>
      </w:r>
    </w:p>
    <w:p>
      <w:pPr>
        <w:pStyle w:val="ListParagraph"/>
        <w:numPr>
          <w:ilvl w:val="0"/>
          <w:numId w:val="2"/>
        </w:numPr>
        <w:spacing w:after="60"/>
      </w:pPr>
      <w:r>
        <w:rPr>
          <w:rFonts w:ascii="Arial" w:cs="Arial" w:eastAsia="Arial" w:hAnsi="Arial"/>
          <w:sz w:val="20"/>
          <w:szCs w:val="20"/>
        </w:rPr>
        <w:t xml:space="preserve">ARTCI (Autorité de Régulation des Télécommunications/TIC) = autorité de contrôle</w:t>
      </w:r>
    </w:p>
    <w:p>
      <w:pPr>
        <w:pStyle w:val="ListParagraph"/>
        <w:numPr>
          <w:ilvl w:val="0"/>
          <w:numId w:val="2"/>
        </w:numPr>
        <w:spacing w:after="60"/>
      </w:pPr>
      <w:r>
        <w:rPr>
          <w:rFonts w:ascii="Arial" w:cs="Arial" w:eastAsia="Arial" w:hAnsi="Arial"/>
          <w:sz w:val="20"/>
          <w:szCs w:val="20"/>
        </w:rPr>
        <w:t xml:space="preserve">Déclaration préalable obligatoire auprès de l'ARTCI avant tout traitement de données</w:t>
      </w:r>
    </w:p>
    <w:p>
      <w:pPr>
        <w:pStyle w:val="ListParagraph"/>
        <w:numPr>
          <w:ilvl w:val="0"/>
          <w:numId w:val="2"/>
        </w:numPr>
        <w:spacing w:after="60"/>
      </w:pPr>
      <w:r>
        <w:rPr>
          <w:rFonts w:ascii="Arial" w:cs="Arial" w:eastAsia="Arial" w:hAnsi="Arial"/>
          <w:sz w:val="20"/>
          <w:szCs w:val="20"/>
        </w:rPr>
        <w:t xml:space="preserve">Amendes jusqu'à 10 000 000 FCFA (récidive : 100 000 000 FCFA ou 5% du CA)</w:t>
      </w:r>
    </w:p>
    <w:p>
      <w:pPr>
        <w:pStyle w:val="ListParagraph"/>
        <w:numPr>
          <w:ilvl w:val="0"/>
          <w:numId w:val="2"/>
        </w:numPr>
        <w:spacing w:after="60"/>
      </w:pPr>
      <w:r>
        <w:rPr>
          <w:rFonts w:ascii="Arial" w:cs="Arial" w:eastAsia="Arial" w:hAnsi="Arial"/>
          <w:sz w:val="20"/>
          <w:szCs w:val="20"/>
        </w:rPr>
        <w:t xml:space="preserve">Correspondant à la protection des données obligatoire (arrêté 0099/MTND/CAB du 16 août 2024)</w:t>
      </w:r>
    </w:p>
    <w:p>
      <w:pPr>
        <w:pStyle w:val="ListParagraph"/>
        <w:numPr>
          <w:ilvl w:val="0"/>
          <w:numId w:val="2"/>
        </w:numPr>
        <w:spacing w:after="60"/>
      </w:pPr>
      <w:r>
        <w:rPr>
          <w:rFonts w:ascii="Arial" w:cs="Arial" w:eastAsia="Arial" w:hAnsi="Arial"/>
          <w:sz w:val="20"/>
          <w:szCs w:val="20"/>
        </w:rPr>
        <w:t xml:space="preserve">Loi n°2013-451 du 19 juin 2013 — Lutte contre la cybercriminalité</w:t>
      </w:r>
    </w:p>
    <w:p>
      <w:pPr>
        <w:spacing w:after="200"/>
      </w:pPr>
    </w:p>
    <w:p>
      <w:pPr>
        <w:spacing w:after="120"/>
      </w:pPr>
      <w:r>
        <w:rPr>
          <w:rFonts w:ascii="Arial" w:cs="Arial" w:eastAsia="Arial" w:hAnsi="Arial"/>
          <w:b/>
          <w:bCs/>
          <w:color w:val="1B4F72"/>
          <w:sz w:val="22"/>
          <w:szCs w:val="22"/>
        </w:rPr>
        <w:t xml:space="preserve">COMPTABILITÉ ET FISCALITÉ</w:t>
      </w:r>
    </w:p>
    <w:p>
      <w:pPr>
        <w:pStyle w:val="ListParagraph"/>
        <w:numPr>
          <w:ilvl w:val="0"/>
          <w:numId w:val="2"/>
        </w:numPr>
        <w:spacing w:after="60"/>
      </w:pPr>
      <w:r>
        <w:rPr>
          <w:rFonts w:ascii="Arial" w:cs="Arial" w:eastAsia="Arial" w:hAnsi="Arial"/>
          <w:sz w:val="20"/>
          <w:szCs w:val="20"/>
        </w:rPr>
        <w:t xml:space="preserve">SYSCOHADA révisé (Système Comptable OHADA) — plan comptable applicable</w:t>
      </w:r>
    </w:p>
    <w:p>
      <w:pPr>
        <w:pStyle w:val="ListParagraph"/>
        <w:numPr>
          <w:ilvl w:val="0"/>
          <w:numId w:val="2"/>
        </w:numPr>
        <w:spacing w:after="60"/>
      </w:pPr>
      <w:r>
        <w:rPr>
          <w:rFonts w:ascii="Arial" w:cs="Arial" w:eastAsia="Arial" w:hAnsi="Arial"/>
          <w:sz w:val="20"/>
          <w:szCs w:val="20"/>
        </w:rPr>
        <w:t xml:space="preserve">Monnaie : Franc CFA (XOF) — zone UEMOA/BCEAO</w:t>
      </w:r>
    </w:p>
    <w:p>
      <w:pPr>
        <w:pStyle w:val="ListParagraph"/>
        <w:numPr>
          <w:ilvl w:val="0"/>
          <w:numId w:val="2"/>
        </w:numPr>
        <w:spacing w:after="60"/>
      </w:pPr>
      <w:r>
        <w:rPr>
          <w:rFonts w:ascii="Arial" w:cs="Arial" w:eastAsia="Arial" w:hAnsi="Arial"/>
          <w:sz w:val="20"/>
          <w:szCs w:val="20"/>
        </w:rPr>
        <w:t xml:space="preserve">Impôt foncier : Direction Générale des Impôts (DGI) de Côte d'Ivoire</w:t>
      </w:r>
    </w:p>
    <w:p>
      <w:pPr>
        <w:pStyle w:val="ListParagraph"/>
        <w:numPr>
          <w:ilvl w:val="0"/>
          <w:numId w:val="2"/>
        </w:numPr>
        <w:spacing w:after="60"/>
      </w:pPr>
      <w:r>
        <w:rPr>
          <w:rFonts w:ascii="Arial" w:cs="Arial" w:eastAsia="Arial" w:hAnsi="Arial"/>
          <w:sz w:val="20"/>
          <w:szCs w:val="20"/>
        </w:rPr>
        <w:t xml:space="preserve">TVA applicable sur les prestations de syndic et les loyers commerciaux</w:t>
      </w:r>
    </w:p>
    <w:p>
      <w:pPr>
        <w:spacing w:after="200"/>
      </w:pPr>
    </w:p>
    <w:p>
      <w:pPr>
        <w:spacing w:after="120"/>
      </w:pPr>
      <w:r>
        <w:rPr>
          <w:rFonts w:ascii="Arial" w:cs="Arial" w:eastAsia="Arial" w:hAnsi="Arial"/>
          <w:b/>
          <w:bCs/>
          <w:color w:val="1B4F72"/>
          <w:sz w:val="22"/>
          <w:szCs w:val="22"/>
        </w:rPr>
        <w:t xml:space="preserve">FONCIER ET IMMOBILIER</w:t>
      </w:r>
    </w:p>
    <w:p>
      <w:pPr>
        <w:pStyle w:val="ListParagraph"/>
        <w:numPr>
          <w:ilvl w:val="0"/>
          <w:numId w:val="2"/>
        </w:numPr>
        <w:spacing w:after="60"/>
      </w:pPr>
      <w:r>
        <w:rPr>
          <w:rFonts w:ascii="Arial" w:cs="Arial" w:eastAsia="Arial" w:hAnsi="Arial"/>
          <w:sz w:val="20"/>
          <w:szCs w:val="20"/>
        </w:rPr>
        <w:t xml:space="preserve">Décret du 26 juillet 1932 : régime de la propriété foncière (livre foncier)</w:t>
      </w:r>
    </w:p>
    <w:p>
      <w:pPr>
        <w:pStyle w:val="ListParagraph"/>
        <w:numPr>
          <w:ilvl w:val="0"/>
          <w:numId w:val="2"/>
        </w:numPr>
        <w:spacing w:after="60"/>
      </w:pPr>
      <w:r>
        <w:rPr>
          <w:rFonts w:ascii="Arial" w:cs="Arial" w:eastAsia="Arial" w:hAnsi="Arial"/>
          <w:sz w:val="20"/>
          <w:szCs w:val="20"/>
        </w:rPr>
        <w:t xml:space="preserve">Loi n°98-750 du 23 décembre 1998 : domaine foncier rural</w:t>
      </w:r>
    </w:p>
    <w:p>
      <w:pPr>
        <w:pStyle w:val="ListParagraph"/>
        <w:numPr>
          <w:ilvl w:val="0"/>
          <w:numId w:val="2"/>
        </w:numPr>
        <w:spacing w:after="60"/>
      </w:pPr>
      <w:r>
        <w:rPr>
          <w:rFonts w:ascii="Arial" w:cs="Arial" w:eastAsia="Arial" w:hAnsi="Arial"/>
          <w:sz w:val="20"/>
          <w:szCs w:val="20"/>
        </w:rPr>
        <w:t xml:space="preserve">Décret n°64-164 du 16 avril 1964 : interdiction des actes sous seing privé en matière immobilière</w:t>
      </w:r>
    </w:p>
    <w:p>
      <w:pPr>
        <w:pStyle w:val="ListParagraph"/>
        <w:numPr>
          <w:ilvl w:val="0"/>
          <w:numId w:val="2"/>
        </w:numPr>
        <w:spacing w:after="60"/>
      </w:pPr>
      <w:r>
        <w:rPr>
          <w:rFonts w:ascii="Arial" w:cs="Arial" w:eastAsia="Arial" w:hAnsi="Arial"/>
          <w:sz w:val="20"/>
          <w:szCs w:val="20"/>
        </w:rPr>
        <w:t xml:space="preserve">Toute mutation immobilière requiert un acte notarié</w:t>
      </w:r>
    </w:p>
    <w:p>
      <w:pPr>
        <w:spacing w:after="200"/>
      </w:pPr>
    </w:p>
    <w:p>
      <w:r>
        <w:br w:type="page"/>
      </w:r>
    </w:p>
    <w:p>
      <w:pPr>
        <w:pStyle w:val="Heading1"/>
      </w:pPr>
      <w:r>
        <w:t xml:space="preserve">2. Périmètre de l'ensemble immobilier</w:t>
      </w:r>
    </w:p>
    <w:p>
      <w:pPr>
        <w:spacing w:after="120"/>
      </w:pPr>
      <w:r>
        <w:rPr>
          <w:rFonts w:ascii="Arial" w:cs="Arial" w:eastAsia="Arial" w:hAnsi="Arial"/>
          <w:b/>
          <w:bCs/>
          <w:color w:val="333333"/>
          <w:sz w:val="22"/>
          <w:szCs w:val="22"/>
        </w:rPr>
        <w:t xml:space="preserve">Le projet est porté par COFIPRI (holding luxembourgeoise) via deux filiales : GREEN IMMO I (résidentiel) et GREEN SHOPS (commercial). Localisation : Grand Bassam, Côte d'Ivoire, à 30 min de l'aéroport international d'Abidjan.</w:t>
      </w:r>
    </w:p>
    <w:p>
      <w:pPr>
        <w:spacing w:after="200"/>
      </w:pPr>
    </w:p>
    <w:p>
      <w:pPr>
        <w:pStyle w:val="Heading2"/>
      </w:pPr>
      <w:r>
        <w:t xml:space="preserve">2.1 Cartographie complète des entités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3826"/>
        <w:gridCol w:w="1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Entité</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38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Détail</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Priorité</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51 Villas duplex (Zone R+1)</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Habitation</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Minan F4 (185m², apd 147M FCFA), Asue F5 (223m², apd 177M), Boya F6 (275m², apd 220M) — jardins, piscines, boyeries, cuisines africaines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200 Appts (10 immeubles R+5)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Habitation</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F3 97m² (apd 65M FCFA) et F4 131m² (apd 87M) — 5 immeubles nommés : Acajou, Iroko, Moabi, Limba, Palissandre + 5 phase 2 : Acacia, Sipo, Colatier, Douka, Fraké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Quartier Nhood (R+3)</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Habitation</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154 appartements en 2 phases (84 + 70) — programme distinct mais même copropriété horizontale</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Centre commercial COSMOS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Commercial</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21 863 m² GLA total : supermarché Super U (2 370m²), 9 moyennes surfaces, 7 grandes boutiques, 22 petites boutiques, kiosques (14×6m²)</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Retail Park</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Commercial</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5 078 m² — 4 grandes unités (MU1-MU4, 1 188 à 1 370m²), baux commerciaux séparés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Cinéma + Espaces de jeu</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Loisirs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1 477 m², bail commercial, normes ERP (catégorie 6 CCH art. 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Food Court + Restaurants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Restauration</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4 restaurants (852m²), 6 fast-food (368m²), food-court climatisé (323m²)</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Station-service Oryx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Énergie</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1 260 m², bail commercial spécifique (concession), accès camions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Clinique Novamed</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Santé</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Bail santé, normes sanitaires spécifiques, polyclinique de proximité</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Afrika Banque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Services financiers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Bail bancaire, sécurité renforcée, coffres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P2</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École (18 classes)</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Éducation</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Maternelle + primaire, bail ou convention, conformité catégorie 4 CCH</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Club sportif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Loisirs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 terrains de padel, piscine 25m, bail opérateur privé</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P1</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Club House</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Mixte / Copropriété</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RDC 200m² : bureaux syndic + coworking + commerce + réception AG / Étage : salle fitness 200m² (opérateur privé)</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Guérite + sécurité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Parties communes</w:t>
            </w:r>
          </w:p>
        </w:tc>
        <w:tc>
          <w:tcPr>
            <w:tcW w:type="dxa" w:w="3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PC sécurité 24h/24, vidéosurveillance, contrôle d'accès unique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P0</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STEP (station d'épuration)</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Infrastructure</w:t>
            </w:r>
          </w:p>
        </w:tc>
        <w:tc>
          <w:tcPr>
            <w:tcW w:type="dxa" w:w="38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Entretien mécanique + évacuation boues, coût 1M FCFA/mois</w:t>
            </w:r>
          </w:p>
        </w:tc>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P0</w:t>
            </w:r>
          </w:p>
        </w:tc>
      </w:tr>
    </w:tbl>
    <w:p>
      <w:pPr>
        <w:spacing w:after="200"/>
      </w:pPr>
    </w:p>
    <w:p>
      <w:pPr>
        <w:pStyle w:val="Heading2"/>
      </w:pPr>
      <w:r>
        <w:t xml:space="preserve">2.2 Structure de copropriété à deux niveaux</w:t>
      </w:r>
    </w:p>
    <w:p>
      <w:pPr>
        <w:spacing w:after="120"/>
      </w:pPr>
      <w:r>
        <w:rPr>
          <w:rFonts w:ascii="Arial" w:cs="Arial" w:eastAsia="Arial" w:hAnsi="Arial"/>
          <w:b/>
          <w:bCs/>
          <w:color w:val="E74C3C"/>
          <w:sz w:val="22"/>
          <w:szCs w:val="22"/>
        </w:rPr>
        <w:t xml:space="preserve">POINT CRITIQUE : le projet comporte une copropriété à double niveau que le logiciel doit gérer nativement :</w:t>
      </w:r>
    </w:p>
    <w:p>
      <w:pPr>
        <w:pStyle w:val="ListParagraph"/>
        <w:numPr>
          <w:ilvl w:val="0"/>
          <w:numId w:val="2"/>
        </w:numPr>
        <w:spacing w:after="60"/>
      </w:pPr>
      <w:r>
        <w:rPr>
          <w:rFonts w:ascii="Arial" w:cs="Arial" w:eastAsia="Arial" w:hAnsi="Arial"/>
          <w:sz w:val="20"/>
          <w:szCs w:val="20"/>
        </w:rPr>
        <w:t xml:space="preserve">Copropriété HORIZONTALE (Green City Bassam) : gestion de l'ensemble de la cité — voiries (13 000m²), espaces verts (3 800m²), éclairage public solaire, STEP, guérite, clôtures, plaines de jeux — budget estimé : ~9M FCFA/mois (~108M FCFA/an)</w:t>
      </w:r>
    </w:p>
    <w:p>
      <w:pPr>
        <w:pStyle w:val="ListParagraph"/>
        <w:numPr>
          <w:ilvl w:val="0"/>
          <w:numId w:val="2"/>
        </w:numPr>
        <w:spacing w:after="60"/>
      </w:pPr>
      <w:r>
        <w:rPr>
          <w:rFonts w:ascii="Arial" w:cs="Arial" w:eastAsia="Arial" w:hAnsi="Arial"/>
          <w:sz w:val="20"/>
          <w:szCs w:val="20"/>
        </w:rPr>
        <w:t xml:space="preserve">Copropriété VERTICALE (par immeuble R+5) : gestion spécifique à chaque immeuble — nettoyage paliers, ascenseur, groupe électrogène, sécurité intérieure — budget estimé : ~1M FCFA/mois par immeuble (59 000 FCFA/mois pour F4, 45 000 FCFA/mois pour F3)</w:t>
      </w:r>
    </w:p>
    <w:p>
      <w:pPr>
        <w:pStyle w:val="ListParagraph"/>
        <w:numPr>
          <w:ilvl w:val="0"/>
          <w:numId w:val="2"/>
        </w:numPr>
        <w:spacing w:after="60"/>
      </w:pPr>
      <w:r>
        <w:rPr>
          <w:rFonts w:ascii="Arial" w:cs="Arial" w:eastAsia="Arial" w:hAnsi="Arial"/>
          <w:sz w:val="20"/>
          <w:szCs w:val="20"/>
        </w:rPr>
        <w:t xml:space="preserve">Les villas contribuent à la copropriété horizontale uniquement (quote-part ~500 000 FCFA/mois par immeuble R+5)</w:t>
      </w:r>
    </w:p>
    <w:p>
      <w:pPr>
        <w:pStyle w:val="ListParagraph"/>
        <w:numPr>
          <w:ilvl w:val="0"/>
          <w:numId w:val="2"/>
        </w:numPr>
        <w:spacing w:after="60"/>
      </w:pPr>
      <w:r>
        <w:rPr>
          <w:rFonts w:ascii="Arial" w:cs="Arial" w:eastAsia="Arial" w:hAnsi="Arial"/>
          <w:sz w:val="20"/>
          <w:szCs w:val="20"/>
        </w:rPr>
        <w:t xml:space="preserve">Le Quartier Nhood a sa propre gestion verticale mais contribue à la copropriété horizontale</w:t>
      </w:r>
    </w:p>
    <w:p>
      <w:pPr>
        <w:pStyle w:val="ListParagraph"/>
        <w:numPr>
          <w:ilvl w:val="0"/>
          <w:numId w:val="2"/>
        </w:numPr>
        <w:spacing w:after="60"/>
      </w:pPr>
      <w:r>
        <w:rPr>
          <w:rFonts w:ascii="Arial" w:cs="Arial" w:eastAsia="Arial" w:hAnsi="Arial"/>
          <w:sz w:val="20"/>
          <w:szCs w:val="20"/>
        </w:rPr>
        <w:t xml:space="preserve">Le centre commercial COSMOS est géré séparément (Green Shops) mais partage certaines charges communes (voiries d'accès, STEP, sécurité périmétrique)</w:t>
      </w:r>
    </w:p>
    <w:p>
      <w:pPr>
        <w:spacing w:after="200"/>
      </w:pPr>
    </w:p>
    <w:p>
      <w:pPr>
        <w:spacing w:after="120"/>
      </w:pPr>
      <w:r>
        <w:rPr>
          <w:rFonts w:ascii="Arial" w:cs="Arial" w:eastAsia="Arial" w:hAnsi="Arial"/>
          <w:b/>
          <w:bCs/>
          <w:color w:val="333333"/>
          <w:sz w:val="22"/>
          <w:szCs w:val="22"/>
        </w:rPr>
        <w:t xml:space="preserve">Syndics professionnels pressentis : ISIS Immobilier et H&amp;A Immobilier — agréés par le Ministre chargé du Logement (art. 396 CCH).</w:t>
      </w:r>
    </w:p>
    <w:p>
      <w:pPr>
        <w:spacing w:after="200"/>
      </w:pPr>
    </w:p>
    <w:p>
      <w:pPr>
        <w:pStyle w:val="Heading2"/>
      </w:pPr>
      <w:r>
        <w:t xml:space="preserve">2.3 Détail des charges de copropriété horizontale (données réelles COFIPRI)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326"/>
        <w:gridCol w:w="1600"/>
        <w:gridCol w:w="1600"/>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Poste</w:t>
            </w:r>
          </w:p>
        </w:tc>
        <w:tc>
          <w:tcPr>
            <w:tcW w:type="dxa" w:w="3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Coût mensuel</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Coût annuel</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Espaces verts M/O</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 jardiniers à temps plein (140 000 FCFA/pers.)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420 000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5 040 000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Espaces verts matériaux</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Engrais, traitements, replantage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360 000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Éclairage public</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Technicien ponctuel, candélabres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360 000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Nettoyage parties communes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 agents nettoyage voiries/trottoirs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910 000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10 920 000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Entretien voiries</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Marquages, signalisation, bordures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120 000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1 440 000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Réseau eaux pluviales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Débouchage, drainage caniveaux</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600 000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Réseau électrique commun</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Maintenance réseau distribution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60 000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720 000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Bâtiments copropriété</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Club house, guérite — peinture, réparations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600 000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Électricité communes</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Réseau sécurité, guérite</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60 000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720 000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Eau communes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Nettoyage, entretien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240 000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Sécurité gardiennage</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4 vigiles (2 jour + 2 nuit)</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1 040 000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12 480 000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Système sécurité</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Caméras, monitoring, clôtures électrifiées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500 000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6 000 000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STEP (assainissement)</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Entretien mécanique + évacuation boues</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1 000 000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12 000 000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 poubelles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Collecte 1x/semaine (villas + immeubles)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1 540 000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18 480 000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Hygiène/désinfection</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Dératisation, désinfection</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100 000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1 200 000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Assurances</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MR communes, RC copro, RC syndic, STEP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900 000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10 800 000</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Imprévus 10%</w:t>
            </w:r>
          </w:p>
        </w:tc>
        <w:tc>
          <w:tcPr>
            <w:tcW w:type="dxa" w:w="3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673 000</w:t>
            </w:r>
          </w:p>
        </w:tc>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8 076 000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 syndic 20%</w:t>
            </w:r>
          </w:p>
        </w:tc>
        <w:tc>
          <w:tcPr>
            <w:tcW w:type="dxa" w:w="3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Administration, coordination, comptabilité</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1 480 600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17 767 200</w:t>
            </w:r>
          </w:p>
        </w:tc>
      </w:tr>
    </w:tbl>
    <w:p>
      <w:pPr>
        <w:spacing w:after="120"/>
      </w:pPr>
      <w:r>
        <w:rPr>
          <w:rFonts w:ascii="Arial" w:cs="Arial" w:eastAsia="Arial" w:hAnsi="Arial"/>
          <w:b/>
          <w:bCs/>
          <w:color w:val="333333"/>
          <w:sz w:val="22"/>
          <w:szCs w:val="22"/>
        </w:rPr>
        <w:t xml:space="preserve">TOTAL copropriété horizontale : 9 015 600 FCFA/mois soit 108 187 200 FCFA/an — Tous ces montants sont des valeurs initiales PARAMÉTRABLES dans le module 3.9</w:t>
      </w:r>
    </w:p>
    <w:p>
      <w:pPr>
        <w:spacing w:after="200"/>
      </w:pPr>
    </w:p>
    <w:p>
      <w:pPr>
        <w:pStyle w:val="Heading2"/>
      </w:pPr>
      <w:r>
        <w:t xml:space="preserve">2.4 Gestion locative intégrée (valeurs initiales — configurables)</w:t>
      </w:r>
    </w:p>
    <w:p>
      <w:pPr>
        <w:spacing w:after="120"/>
      </w:pPr>
      <w:r>
        <w:rPr>
          <w:rFonts w:ascii="Arial" w:cs="Arial" w:eastAsia="Arial" w:hAnsi="Arial"/>
          <w:b/>
          <w:bCs/>
          <w:color w:val="E74C3C"/>
          <w:sz w:val="22"/>
          <w:szCs w:val="22"/>
        </w:rPr>
        <w:t xml:space="preserve">IMPORTANT : toutes les valeurs ci-dessous (taux, montants, seuils, pourcentages) sont des valeurs initiales fournies par COFIPRI. Elles sont intégralement paramétrables dans le module de paramétrage de l'application Syndic (cf. section 3.9). Le logiciel ne doit JAMAIS contenir de valeurs en dur.</w:t>
      </w:r>
    </w:p>
    <w:p>
      <w:pPr>
        <w:pStyle w:val="ListParagraph"/>
        <w:numPr>
          <w:ilvl w:val="0"/>
          <w:numId w:val="2"/>
        </w:numPr>
        <w:spacing w:after="60"/>
      </w:pPr>
      <w:r>
        <w:rPr>
          <w:rFonts w:ascii="Arial" w:cs="Arial" w:eastAsia="Arial" w:hAnsi="Arial"/>
          <w:sz w:val="20"/>
          <w:szCs w:val="20"/>
        </w:rPr>
        <w:t xml:space="preserve">Gestion locative par le syndic : 6% TTC du loyer [PARAMÉTRABLE]</w:t>
      </w:r>
    </w:p>
    <w:p>
      <w:pPr>
        <w:pStyle w:val="ListParagraph"/>
        <w:numPr>
          <w:ilvl w:val="0"/>
          <w:numId w:val="2"/>
        </w:numPr>
        <w:spacing w:after="60"/>
      </w:pPr>
      <w:r>
        <w:rPr>
          <w:rFonts w:ascii="Arial" w:cs="Arial" w:eastAsia="Arial" w:hAnsi="Arial"/>
          <w:sz w:val="20"/>
          <w:szCs w:val="20"/>
        </w:rPr>
        <w:t xml:space="preserve">Loyers estimés appartements : F3 = 420 000 FCFA/mois, F4 = 540 000 FCFA/mois [PARAMÉTRABLE par lot]</w:t>
      </w:r>
    </w:p>
    <w:p>
      <w:pPr>
        <w:pStyle w:val="ListParagraph"/>
        <w:numPr>
          <w:ilvl w:val="0"/>
          <w:numId w:val="2"/>
        </w:numPr>
        <w:spacing w:after="60"/>
      </w:pPr>
      <w:r>
        <w:rPr>
          <w:rFonts w:ascii="Arial" w:cs="Arial" w:eastAsia="Arial" w:hAnsi="Arial"/>
          <w:sz w:val="20"/>
          <w:szCs w:val="20"/>
        </w:rPr>
        <w:t xml:space="preserve">Rendement locatif brut : 5,2% à 6% selon immeuble [CALCULÉ automatiquement]</w:t>
      </w:r>
    </w:p>
    <w:p>
      <w:pPr>
        <w:pStyle w:val="ListParagraph"/>
        <w:numPr>
          <w:ilvl w:val="0"/>
          <w:numId w:val="2"/>
        </w:numPr>
        <w:spacing w:after="60"/>
      </w:pPr>
      <w:r>
        <w:rPr>
          <w:rFonts w:ascii="Arial" w:cs="Arial" w:eastAsia="Arial" w:hAnsi="Arial"/>
          <w:sz w:val="20"/>
          <w:szCs w:val="20"/>
        </w:rPr>
        <w:t xml:space="preserve">Frais d'enregistrement immobilier : 8,3% du prix de vente [PARAMÉTRABLE]</w:t>
      </w:r>
    </w:p>
    <w:p>
      <w:pPr>
        <w:pStyle w:val="ListParagraph"/>
        <w:numPr>
          <w:ilvl w:val="0"/>
          <w:numId w:val="2"/>
        </w:numPr>
        <w:spacing w:after="60"/>
      </w:pPr>
      <w:r>
        <w:rPr>
          <w:rFonts w:ascii="Arial" w:cs="Arial" w:eastAsia="Arial" w:hAnsi="Arial"/>
          <w:sz w:val="20"/>
          <w:szCs w:val="20"/>
        </w:rPr>
        <w:t xml:space="preserve">Frais de commercialisation : 6% TTC + 500 000 FCFA frais de dossier [PARAMÉTRABLE]</w:t>
      </w:r>
    </w:p>
    <w:p>
      <w:pPr>
        <w:pStyle w:val="ListParagraph"/>
        <w:numPr>
          <w:ilvl w:val="0"/>
          <w:numId w:val="2"/>
        </w:numPr>
        <w:spacing w:after="60"/>
      </w:pPr>
      <w:r>
        <w:rPr>
          <w:rFonts w:ascii="Arial" w:cs="Arial" w:eastAsia="Arial" w:hAnsi="Arial"/>
          <w:sz w:val="20"/>
          <w:szCs w:val="20"/>
        </w:rPr>
        <w:t xml:space="preserve">Modalités de paiement VEFA : 3 options configurables (avancement travaux, mensualités, comptant) [PARAMÉTRABLE]</w:t>
      </w:r>
    </w:p>
    <w:p>
      <w:pPr>
        <w:pStyle w:val="ListParagraph"/>
        <w:numPr>
          <w:ilvl w:val="0"/>
          <w:numId w:val="2"/>
        </w:numPr>
        <w:spacing w:after="60"/>
      </w:pPr>
      <w:r>
        <w:rPr>
          <w:rFonts w:ascii="Arial" w:cs="Arial" w:eastAsia="Arial" w:hAnsi="Arial"/>
          <w:sz w:val="20"/>
          <w:szCs w:val="20"/>
        </w:rPr>
        <w:t xml:space="preserve">Rémunération syndic : plafond 20% copro horizontale, 20% copro verticale [PARAMÉTRABLE, max légal 30% art. 397]</w:t>
      </w:r>
    </w:p>
    <w:p>
      <w:pPr>
        <w:pStyle w:val="ListParagraph"/>
        <w:numPr>
          <w:ilvl w:val="0"/>
          <w:numId w:val="2"/>
        </w:numPr>
        <w:spacing w:after="60"/>
      </w:pPr>
      <w:r>
        <w:rPr>
          <w:rFonts w:ascii="Arial" w:cs="Arial" w:eastAsia="Arial" w:hAnsi="Arial"/>
          <w:sz w:val="20"/>
          <w:szCs w:val="20"/>
        </w:rPr>
        <w:t xml:space="preserve">Charges copropriété horizontale : tous les postes et montants du tableau section 2.3 [PARAMÉTRABLE]</w:t>
      </w:r>
    </w:p>
    <w:p>
      <w:pPr>
        <w:pStyle w:val="ListParagraph"/>
        <w:numPr>
          <w:ilvl w:val="0"/>
          <w:numId w:val="2"/>
        </w:numPr>
        <w:spacing w:after="60"/>
      </w:pPr>
      <w:r>
        <w:rPr>
          <w:rFonts w:ascii="Arial" w:cs="Arial" w:eastAsia="Arial" w:hAnsi="Arial"/>
          <w:sz w:val="20"/>
          <w:szCs w:val="20"/>
        </w:rPr>
        <w:t xml:space="preserve">Charges copropriété verticale : tous les postes par immeuble [PARAMÉTRABLE]</w:t>
      </w:r>
    </w:p>
    <w:p>
      <w:pPr>
        <w:pStyle w:val="ListParagraph"/>
        <w:numPr>
          <w:ilvl w:val="0"/>
          <w:numId w:val="2"/>
        </w:numPr>
        <w:spacing w:after="60"/>
      </w:pPr>
      <w:r>
        <w:rPr>
          <w:rFonts w:ascii="Arial" w:cs="Arial" w:eastAsia="Arial" w:hAnsi="Arial"/>
          <w:sz w:val="20"/>
          <w:szCs w:val="20"/>
        </w:rPr>
        <w:t xml:space="preserve">Taux de TVA applicable : paramétrable par type de prestation</w:t>
      </w:r>
    </w:p>
    <w:p>
      <w:pPr>
        <w:pStyle w:val="ListParagraph"/>
        <w:numPr>
          <w:ilvl w:val="0"/>
          <w:numId w:val="2"/>
        </w:numPr>
        <w:spacing w:after="60"/>
      </w:pPr>
      <w:r>
        <w:rPr>
          <w:rFonts w:ascii="Arial" w:cs="Arial" w:eastAsia="Arial" w:hAnsi="Arial"/>
          <w:sz w:val="20"/>
          <w:szCs w:val="20"/>
        </w:rPr>
        <w:t xml:space="preserve">Indice de révision des loyers commerciaux : source et formule [PARAMÉTRABLE]</w:t>
      </w:r>
    </w:p>
    <w:p>
      <w:pPr>
        <w:pStyle w:val="ListParagraph"/>
        <w:numPr>
          <w:ilvl w:val="0"/>
          <w:numId w:val="2"/>
        </w:numPr>
        <w:spacing w:after="60"/>
      </w:pPr>
      <w:r>
        <w:rPr>
          <w:rFonts w:ascii="Arial" w:cs="Arial" w:eastAsia="Arial" w:hAnsi="Arial"/>
          <w:sz w:val="20"/>
          <w:szCs w:val="20"/>
        </w:rPr>
        <w:t xml:space="preserve">Caution bail habitation : max 2 mois (art. 416 CCH) [PARAMÉTRABLE dans la limite légale]</w:t>
      </w:r>
    </w:p>
    <w:p>
      <w:pPr>
        <w:pStyle w:val="ListParagraph"/>
        <w:numPr>
          <w:ilvl w:val="0"/>
          <w:numId w:val="2"/>
        </w:numPr>
        <w:spacing w:after="60"/>
      </w:pPr>
      <w:r>
        <w:rPr>
          <w:rFonts w:ascii="Arial" w:cs="Arial" w:eastAsia="Arial" w:hAnsi="Arial"/>
          <w:sz w:val="20"/>
          <w:szCs w:val="20"/>
        </w:rPr>
        <w:t xml:space="preserve">Délai de révision loyer habitation : 3 ans (art. 423 CCH) [PARAMÉTRABLE dans la limite légale]</w:t>
      </w:r>
    </w:p>
    <w:p>
      <w:pPr>
        <w:pStyle w:val="ListParagraph"/>
        <w:numPr>
          <w:ilvl w:val="0"/>
          <w:numId w:val="2"/>
        </w:numPr>
        <w:spacing w:after="60"/>
      </w:pPr>
      <w:r>
        <w:rPr>
          <w:rFonts w:ascii="Arial" w:cs="Arial" w:eastAsia="Arial" w:hAnsi="Arial"/>
          <w:sz w:val="20"/>
          <w:szCs w:val="20"/>
        </w:rPr>
        <w:t xml:space="preserve">Seuils d'alerte impayés : nombre de jours, montant [PARAMÉTRABLE]</w:t>
      </w:r>
    </w:p>
    <w:p>
      <w:pPr>
        <w:pStyle w:val="ListParagraph"/>
        <w:numPr>
          <w:ilvl w:val="0"/>
          <w:numId w:val="2"/>
        </w:numPr>
        <w:spacing w:after="60"/>
      </w:pPr>
      <w:r>
        <w:rPr>
          <w:rFonts w:ascii="Arial" w:cs="Arial" w:eastAsia="Arial" w:hAnsi="Arial"/>
          <w:sz w:val="20"/>
          <w:szCs w:val="20"/>
        </w:rPr>
        <w:t xml:space="preserve">Taux de pénalités de retard [PARAMÉTRABLE]</w:t>
      </w:r>
    </w:p>
    <w:p>
      <w:pPr>
        <w:spacing w:after="200"/>
      </w:pPr>
    </w:p>
    <w:p>
      <w:pPr>
        <w:pStyle w:val="Heading2"/>
      </w:pPr>
      <w:r>
        <w:t xml:space="preserve">2.5 Modèle de données des lots</w:t>
      </w:r>
    </w:p>
    <w:p>
      <w:pPr>
        <w:spacing w:after="120"/>
      </w:pPr>
      <w:r>
        <w:rPr>
          <w:rFonts w:ascii="Arial" w:cs="Arial" w:eastAsia="Arial" w:hAnsi="Arial"/>
          <w:color w:val="333333"/>
          <w:sz w:val="22"/>
          <w:szCs w:val="22"/>
        </w:rPr>
        <w:t xml:space="preserve">Chaque lot dispose d'un identifiant unique et est caractérisé par : type (villa, appartement, boutique, restaurant, kiosque, parking, local technique), surface utile, tantièmes par clé de répartition (copropriété horizontale + verticale si applicable), propriétaire(s), statut d'occupation (occupé, loué, vacant, en travaux), rattachement à une ou plusieurs entités.</w:t>
      </w:r>
    </w:p>
    <w:p>
      <w:pPr>
        <w:spacing w:after="120"/>
      </w:pPr>
      <w:r>
        <w:rPr>
          <w:rFonts w:ascii="Arial" w:cs="Arial" w:eastAsia="Arial" w:hAnsi="Arial"/>
          <w:color w:val="333333"/>
          <w:sz w:val="22"/>
          <w:szCs w:val="22"/>
        </w:rPr>
        <w:t xml:space="preserve">Le système doit gérer les mutations (ventes, successions, donations) avec historique complet, conformément aux exigences du Code de la Construction et de l'Habitat (art. 385-397). Toute mutation requiert un acte notarié (décret 64-164).</w:t>
      </w:r>
    </w:p>
    <w:p>
      <w:r>
        <w:br w:type="page"/>
      </w:r>
    </w:p>
    <w:p>
      <w:pPr>
        <w:pStyle w:val="Heading1"/>
      </w:pPr>
      <w:r>
        <w:t xml:space="preserve">3. Application Syndic — Différenciation Desktop / Mobile</w:t>
      </w:r>
    </w:p>
    <w:p>
      <w:pPr>
        <w:pStyle w:val="Heading2"/>
      </w:pPr>
      <w:r>
        <w:t xml:space="preserve">3.0 Principe de conception Desktop vs Mobile</w:t>
      </w:r>
    </w:p>
    <w:p>
      <w:pPr>
        <w:spacing w:after="120"/>
      </w:pPr>
      <w:r>
        <w:rPr>
          <w:rFonts w:ascii="Arial" w:cs="Arial" w:eastAsia="Arial" w:hAnsi="Arial"/>
          <w:b/>
          <w:bCs/>
          <w:color w:val="333333"/>
          <w:sz w:val="22"/>
          <w:szCs w:val="22"/>
        </w:rPr>
        <w:t xml:space="preserve">L'application Syndic existe en deux déclinaisons complémentaires mais asymétriques. Le desktop est l'outil de travail principal (saisie, paramétrage, analyses complexes). Le mobile est un compagnon de terrain synthétique et consultatif, à l'exception de quelques tâches spécifiquement terrain.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35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Desktop (navigateur web)</w:t>
            </w:r>
          </w:p>
        </w:tc>
        <w:tc>
          <w:tcPr>
            <w:tcW w:type="dxa" w:w="35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Mobile (web responsive)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Vocation</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Outil de travail principal — saisie, paramétrage, analyse, pilotage</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Compagnon terrain — consultation, alertes, actions rapides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Comptabilité</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COMPLÈTE : saisie écritures, rapprochement, budgets, clôture, annexes, grand livre, balances, exports SYSCOHADA</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 soldes par copropriété, alertes impayés, validation rapide de factures pré-saisies par OCR</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AG</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COMPLÈTE : préparation ordre du jour, résolutions, convocations, animation AG, calcul quorum, PV</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 vote : suivi en direct, notifications résultats, accès PV</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Tableaux de bord / KPI</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COMPLETS : 50+ indicateurs, graphiques interactifs, drill-down, comparatifs multi-copropriétés, export Excel/PDF</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RÉSUMÉ : 5-8 KPI essentiels en cartes synthétiques (impayés, taux occupation, incidents ouverts, trésorerie)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Reporting / Graphiques</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COMPLET : graphiques complexes (trésorerie 12 mois, répartition charges, évolution loyers), tableaux croisés</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RÉSUMÉ : sparklines, tendances simplifiées, pas de tableaux croisés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 des lots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COMPLÈTE : création, modification, tantièmes, clés de répartition, historique mutations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 fiche lot résumée, photo, statut, dernier locataire</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 locative</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COMPLÈTE : baux, quittancement, révisions, régularisation, candidatures, scoring</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 alertes : échéances baux, impayés, actions rapides (relance SMS)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Travaux / Incidents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COMPLET : création OS, suivi complet, mise en concurrence, budgets travaux</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TERRAIN : créer un incident/OS avec photo+GPS, valider une intervention, consulter le suivi</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Communication</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COMPLÈTE : publipostage, modèles, envoi groupé email/SMS/courrier</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RAPIDE : envoyer un SMS/notification push individuel, répondre à un message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GED / Documents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COMPLET : upload, indexation, recherche full-text, classement arborescent</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 recherche et visualisation PDF, pas d'upload massif</w:t>
            </w:r>
          </w:p>
        </w:tc>
      </w:tr>
      <w:tr>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Paramétrage</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COMPLET : config copropriétés, clés, comptes, utilisateurs, droits, modèles</w:t>
            </w:r>
          </w:p>
        </w:tc>
        <w:tc>
          <w:tcPr>
            <w:tcW w:type="dxa" w:w="35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INTERDIT : aucun paramétrage depuis le mobile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VTI (Visite technique)</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Rapport complet post-visite, consolidation photos</w:t>
            </w:r>
          </w:p>
        </w:tc>
        <w:tc>
          <w:tcPr>
            <w:tcW w:type="dxa" w:w="35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TERRAIN NATIF : checklist, photos géolocalisées, notes vocales, rapport auto-généré</w:t>
            </w:r>
          </w:p>
        </w:tc>
      </w:tr>
    </w:tbl>
    <w:p>
      <w:pPr>
        <w:spacing w:after="200"/>
      </w:pPr>
    </w:p>
    <w:p>
      <w:pPr>
        <w:spacing w:after="120"/>
      </w:pPr>
      <w:r>
        <w:rPr>
          <w:rFonts w:ascii="Arial" w:cs="Arial" w:eastAsia="Arial" w:hAnsi="Arial"/>
          <w:b/>
          <w:bCs/>
          <w:color w:val="E74C3C"/>
          <w:sz w:val="22"/>
          <w:szCs w:val="22"/>
        </w:rPr>
        <w:t xml:space="preserve">RÈGLE GÉNÉRALE : toute fonctionnalité impliquant des tableaux de plus de 5 colonnes, des graphiques complexes, de la saisie intensive ou du paramétrage est DESKTOP UNIQUEMENT. Le mobile se limite à la consultation résumée, aux alertes et aux tâches de terrain (photos, géolocalisation, validation rapide).</w:t>
      </w:r>
    </w:p>
    <w:p>
      <w:pPr>
        <w:spacing w:after="200"/>
      </w:pPr>
    </w:p>
    <w:p>
      <w:pPr>
        <w:pStyle w:val="Heading2"/>
      </w:pPr>
      <w:r>
        <w:t xml:space="preserve">3.0.1 Fonctionnalités exclusives au mobile (terrain)</w:t>
      </w:r>
    </w:p>
    <w:p>
      <w:pPr>
        <w:pStyle w:val="ListParagraph"/>
        <w:numPr>
          <w:ilvl w:val="0"/>
          <w:numId w:val="2"/>
        </w:numPr>
        <w:spacing w:after="60"/>
      </w:pPr>
      <w:r>
        <w:rPr>
          <w:rFonts w:ascii="Arial" w:cs="Arial" w:eastAsia="Arial" w:hAnsi="Arial"/>
          <w:sz w:val="20"/>
          <w:szCs w:val="20"/>
        </w:rPr>
        <w:t xml:space="preserve">Visite Technique d'Immeuble (VTI) : checklist interactive, prise de photos géolocalisées, notes vocales, génération automatique du rapport</w:t>
      </w:r>
    </w:p>
    <w:p>
      <w:pPr>
        <w:pStyle w:val="ListParagraph"/>
        <w:numPr>
          <w:ilvl w:val="0"/>
          <w:numId w:val="2"/>
        </w:numPr>
        <w:spacing w:after="60"/>
      </w:pPr>
      <w:r>
        <w:rPr>
          <w:rFonts w:ascii="Arial" w:cs="Arial" w:eastAsia="Arial" w:hAnsi="Arial"/>
          <w:sz w:val="20"/>
          <w:szCs w:val="20"/>
        </w:rPr>
        <w:t xml:space="preserve">Déclaration d'incident terrain : photo + GPS + description, création immédiate d'un ordre de service</w:t>
      </w:r>
    </w:p>
    <w:p>
      <w:pPr>
        <w:pStyle w:val="ListParagraph"/>
        <w:numPr>
          <w:ilvl w:val="0"/>
          <w:numId w:val="2"/>
        </w:numPr>
        <w:spacing w:after="60"/>
      </w:pPr>
      <w:r>
        <w:rPr>
          <w:rFonts w:ascii="Arial" w:cs="Arial" w:eastAsia="Arial" w:hAnsi="Arial"/>
          <w:sz w:val="20"/>
          <w:szCs w:val="20"/>
        </w:rPr>
        <w:t xml:space="preserve">État des lieux contradictoire sur mobile (art. 427 CCH) : checklist pièce par pièce, photos horodatées, signature tactile</w:t>
      </w:r>
    </w:p>
    <w:p>
      <w:pPr>
        <w:pStyle w:val="ListParagraph"/>
        <w:numPr>
          <w:ilvl w:val="0"/>
          <w:numId w:val="2"/>
        </w:numPr>
        <w:spacing w:after="60"/>
      </w:pPr>
      <w:r>
        <w:rPr>
          <w:rFonts w:ascii="Arial" w:cs="Arial" w:eastAsia="Arial" w:hAnsi="Arial"/>
          <w:sz w:val="20"/>
          <w:szCs w:val="20"/>
        </w:rPr>
        <w:t xml:space="preserve">Scan de facture rapide : prise de photo → envoi à l'OCR desktop pour traitement</w:t>
      </w:r>
    </w:p>
    <w:p>
      <w:pPr>
        <w:pStyle w:val="ListParagraph"/>
        <w:numPr>
          <w:ilvl w:val="0"/>
          <w:numId w:val="2"/>
        </w:numPr>
        <w:spacing w:after="60"/>
      </w:pPr>
      <w:r>
        <w:rPr>
          <w:rFonts w:ascii="Arial" w:cs="Arial" w:eastAsia="Arial" w:hAnsi="Arial"/>
          <w:sz w:val="20"/>
          <w:szCs w:val="20"/>
        </w:rPr>
        <w:t xml:space="preserve">Validation rapide : approuver une facture, un devis, un OS en un tap (pré-saisi sur desktop)</w:t>
      </w:r>
    </w:p>
    <w:p>
      <w:pPr>
        <w:pStyle w:val="ListParagraph"/>
        <w:numPr>
          <w:ilvl w:val="0"/>
          <w:numId w:val="2"/>
        </w:numPr>
        <w:spacing w:after="60"/>
      </w:pPr>
      <w:r>
        <w:rPr>
          <w:rFonts w:ascii="Arial" w:cs="Arial" w:eastAsia="Arial" w:hAnsi="Arial"/>
          <w:sz w:val="20"/>
          <w:szCs w:val="20"/>
        </w:rPr>
        <w:t xml:space="preserve">Notifications push en temps réel : alertes impayés critiques, incidents urgents, rappels AG</w:t>
      </w:r>
    </w:p>
    <w:p>
      <w:pPr>
        <w:spacing w:after="200"/>
      </w:pPr>
    </w:p>
    <w:p>
      <w:pPr>
        <w:pStyle w:val="Heading2"/>
      </w:pPr>
      <w:r>
        <w:t xml:space="preserve">3.0.2 Fonctionnalités consultatives uniquement sur mobile</w:t>
      </w:r>
    </w:p>
    <w:p>
      <w:pPr>
        <w:pStyle w:val="ListParagraph"/>
        <w:numPr>
          <w:ilvl w:val="0"/>
          <w:numId w:val="2"/>
        </w:numPr>
        <w:spacing w:after="60"/>
      </w:pPr>
      <w:r>
        <w:rPr>
          <w:rFonts w:ascii="Arial" w:cs="Arial" w:eastAsia="Arial" w:hAnsi="Arial"/>
          <w:sz w:val="20"/>
          <w:szCs w:val="20"/>
        </w:rPr>
        <w:t xml:space="preserve">Dashboard résumé : 5 à 8 cartes KPI (impayés totaux, taux d'occupation, incidents ouverts, trésorerie globale, prochaines AG)</w:t>
      </w:r>
    </w:p>
    <w:p>
      <w:pPr>
        <w:pStyle w:val="ListParagraph"/>
        <w:numPr>
          <w:ilvl w:val="0"/>
          <w:numId w:val="2"/>
        </w:numPr>
        <w:spacing w:after="60"/>
      </w:pPr>
      <w:r>
        <w:rPr>
          <w:rFonts w:ascii="Arial" w:cs="Arial" w:eastAsia="Arial" w:hAnsi="Arial"/>
          <w:sz w:val="20"/>
          <w:szCs w:val="20"/>
        </w:rPr>
        <w:t xml:space="preserve">Graphiques simplifiés : sparklines de tendance trésorerie, barres horizontales de répartition charges — pas de graphiques interactifs</w:t>
      </w:r>
    </w:p>
    <w:p>
      <w:pPr>
        <w:pStyle w:val="ListParagraph"/>
        <w:numPr>
          <w:ilvl w:val="0"/>
          <w:numId w:val="2"/>
        </w:numPr>
        <w:spacing w:after="60"/>
      </w:pPr>
      <w:r>
        <w:rPr>
          <w:rFonts w:ascii="Arial" w:cs="Arial" w:eastAsia="Arial" w:hAnsi="Arial"/>
          <w:sz w:val="20"/>
          <w:szCs w:val="20"/>
        </w:rPr>
        <w:t xml:space="preserve">Fiche lot résumée : type, surface, propriétaire, locataire, solde, dernier événement</w:t>
      </w:r>
    </w:p>
    <w:p>
      <w:pPr>
        <w:pStyle w:val="ListParagraph"/>
        <w:numPr>
          <w:ilvl w:val="0"/>
          <w:numId w:val="2"/>
        </w:numPr>
        <w:spacing w:after="60"/>
      </w:pPr>
      <w:r>
        <w:rPr>
          <w:rFonts w:ascii="Arial" w:cs="Arial" w:eastAsia="Arial" w:hAnsi="Arial"/>
          <w:sz w:val="20"/>
          <w:szCs w:val="20"/>
        </w:rPr>
        <w:t xml:space="preserve">Liste des impayés : tri par montant/ancienneté, action rapide (relance SMS)</w:t>
      </w:r>
    </w:p>
    <w:p>
      <w:pPr>
        <w:pStyle w:val="ListParagraph"/>
        <w:numPr>
          <w:ilvl w:val="0"/>
          <w:numId w:val="2"/>
        </w:numPr>
        <w:spacing w:after="60"/>
      </w:pPr>
      <w:r>
        <w:rPr>
          <w:rFonts w:ascii="Arial" w:cs="Arial" w:eastAsia="Arial" w:hAnsi="Arial"/>
          <w:sz w:val="20"/>
          <w:szCs w:val="20"/>
        </w:rPr>
        <w:t xml:space="preserve">Agenda simplifié : prochains RDV, AG, échéances — pas de gestion multi-agendas</w:t>
      </w:r>
    </w:p>
    <w:p>
      <w:pPr>
        <w:pStyle w:val="ListParagraph"/>
        <w:numPr>
          <w:ilvl w:val="0"/>
          <w:numId w:val="2"/>
        </w:numPr>
        <w:spacing w:after="60"/>
      </w:pPr>
      <w:r>
        <w:rPr>
          <w:rFonts w:ascii="Arial" w:cs="Arial" w:eastAsia="Arial" w:hAnsi="Arial"/>
          <w:sz w:val="20"/>
          <w:szCs w:val="20"/>
        </w:rPr>
        <w:t xml:space="preserve">Consultation documents GED : visualisation PDF, pas d'upload ni de classement</w:t>
      </w:r>
    </w:p>
    <w:p>
      <w:pPr>
        <w:pStyle w:val="ListParagraph"/>
        <w:numPr>
          <w:ilvl w:val="0"/>
          <w:numId w:val="2"/>
        </w:numPr>
        <w:spacing w:after="60"/>
      </w:pPr>
      <w:r>
        <w:rPr>
          <w:rFonts w:ascii="Arial" w:cs="Arial" w:eastAsia="Arial" w:hAnsi="Arial"/>
          <w:sz w:val="20"/>
          <w:szCs w:val="20"/>
        </w:rPr>
        <w:t xml:space="preserve">Consultation comptable : solde par copropriété et par compte — pas de grand livre ni de balance détaillée</w:t>
      </w:r>
    </w:p>
    <w:p>
      <w:pPr>
        <w:spacing w:after="200"/>
      </w:pPr>
    </w:p>
    <w:p>
      <w:pPr>
        <w:pStyle w:val="Heading1"/>
      </w:pPr>
      <w:r>
        <w:t xml:space="preserve">3.1 Fonctionnalités détaillées — Desktop</w:t>
      </w:r>
    </w:p>
    <w:p>
      <w:pPr>
        <w:spacing w:after="120"/>
      </w:pPr>
      <w:r>
        <w:rPr>
          <w:rFonts w:ascii="Arial" w:cs="Arial" w:eastAsia="Arial" w:hAnsi="Arial"/>
          <w:color w:val="333333"/>
          <w:sz w:val="22"/>
          <w:szCs w:val="22"/>
        </w:rPr>
        <w:t xml:space="preserve">Les sous-sections suivantes décrivent les fonctionnalités complètes disponibles sur desktop. Sur mobile, seule la partie consultative ou terrain (marquée ci-dessus) est disponible.</w:t>
      </w:r>
    </w:p>
    <w:p>
      <w:pPr>
        <w:spacing w:after="200"/>
      </w:pPr>
    </w:p>
    <w:p>
      <w:pPr>
        <w:pStyle w:val="Heading2"/>
      </w:pPr>
      <w:r>
        <w:t xml:space="preserve">3.2 Gestion des lots et du patrimoine</w:t>
      </w:r>
    </w:p>
    <w:p>
      <w:pPr>
        <w:pStyle w:val="ListParagraph"/>
        <w:numPr>
          <w:ilvl w:val="0"/>
          <w:numId w:val="2"/>
        </w:numPr>
        <w:spacing w:after="60"/>
      </w:pPr>
      <w:r>
        <w:rPr>
          <w:rFonts w:ascii="Arial" w:cs="Arial" w:eastAsia="Arial" w:hAnsi="Arial"/>
          <w:sz w:val="20"/>
          <w:szCs w:val="20"/>
        </w:rPr>
        <w:t xml:space="preserve">Référentiel unique des immeubles, bâtiments et lots (inspiration Powimo : architecture patrimoine unifié)</w:t>
      </w:r>
    </w:p>
    <w:p>
      <w:pPr>
        <w:pStyle w:val="ListParagraph"/>
        <w:numPr>
          <w:ilvl w:val="0"/>
          <w:numId w:val="2"/>
        </w:numPr>
        <w:spacing w:after="60"/>
      </w:pPr>
      <w:r>
        <w:rPr>
          <w:rFonts w:ascii="Arial" w:cs="Arial" w:eastAsia="Arial" w:hAnsi="Arial"/>
          <w:sz w:val="20"/>
          <w:szCs w:val="20"/>
        </w:rPr>
        <w:t xml:space="preserve">Fiche lot complète : type, surface, tantièmes multi-clés, compteurs, équipements</w:t>
      </w:r>
    </w:p>
    <w:p>
      <w:pPr>
        <w:pStyle w:val="ListParagraph"/>
        <w:numPr>
          <w:ilvl w:val="0"/>
          <w:numId w:val="2"/>
        </w:numPr>
        <w:spacing w:after="60"/>
      </w:pPr>
      <w:r>
        <w:rPr>
          <w:rFonts w:ascii="Arial" w:cs="Arial" w:eastAsia="Arial" w:hAnsi="Arial"/>
          <w:sz w:val="20"/>
          <w:szCs w:val="20"/>
        </w:rPr>
        <w:t xml:space="preserve">Gestion multi-copropriété simultanée avec vue consolidée (benchmark SPI Syndic : multi-onglets)</w:t>
      </w:r>
    </w:p>
    <w:p>
      <w:pPr>
        <w:pStyle w:val="ListParagraph"/>
        <w:numPr>
          <w:ilvl w:val="0"/>
          <w:numId w:val="2"/>
        </w:numPr>
        <w:spacing w:after="60"/>
      </w:pPr>
      <w:r>
        <w:rPr>
          <w:rFonts w:ascii="Arial" w:cs="Arial" w:eastAsia="Arial" w:hAnsi="Arial"/>
          <w:sz w:val="20"/>
          <w:szCs w:val="20"/>
        </w:rPr>
        <w:t xml:space="preserve">Carnet d'entretien numérique avec historique des interventions (fonctionnalité VILOGI)</w:t>
      </w:r>
    </w:p>
    <w:p>
      <w:pPr>
        <w:pStyle w:val="ListParagraph"/>
        <w:numPr>
          <w:ilvl w:val="0"/>
          <w:numId w:val="2"/>
        </w:numPr>
        <w:spacing w:after="60"/>
      </w:pPr>
      <w:r>
        <w:rPr>
          <w:rFonts w:ascii="Arial" w:cs="Arial" w:eastAsia="Arial" w:hAnsi="Arial"/>
          <w:sz w:val="20"/>
          <w:szCs w:val="20"/>
        </w:rPr>
        <w:t xml:space="preserve">Registre du syndicat conforme au Code CCH (art. 385-397), transmission au Ministre chargé du Logement (art. 392, 396)</w:t>
      </w:r>
    </w:p>
    <w:p>
      <w:pPr>
        <w:pStyle w:val="ListParagraph"/>
        <w:numPr>
          <w:ilvl w:val="0"/>
          <w:numId w:val="2"/>
        </w:numPr>
        <w:spacing w:after="60"/>
      </w:pPr>
      <w:r>
        <w:rPr>
          <w:rFonts w:ascii="Arial" w:cs="Arial" w:eastAsia="Arial" w:hAnsi="Arial"/>
          <w:sz w:val="20"/>
          <w:szCs w:val="20"/>
        </w:rPr>
        <w:t xml:space="preserve">Gestion des mutations avec workflow automatisé : notification notaire, mise à jour tantièmes, solde de tout compte</w:t>
      </w:r>
    </w:p>
    <w:p>
      <w:pPr>
        <w:pStyle w:val="Heading2"/>
      </w:pPr>
      <w:r>
        <w:t xml:space="preserve">3.3 Comptabilité et finance</w:t>
      </w:r>
    </w:p>
    <w:p>
      <w:pPr>
        <w:spacing w:after="120"/>
      </w:pPr>
      <w:r>
        <w:rPr>
          <w:rFonts w:ascii="Arial" w:cs="Arial" w:eastAsia="Arial" w:hAnsi="Arial"/>
          <w:b/>
          <w:bCs/>
          <w:color w:val="333333"/>
          <w:sz w:val="22"/>
          <w:szCs w:val="22"/>
        </w:rPr>
        <w:t xml:space="preserve">Module comptable conforme au plan comptable OHADA (SYSCOHADA révisé) et au Code de la Construction et de l'Habitat.</w:t>
      </w:r>
    </w:p>
    <w:p>
      <w:pPr>
        <w:pStyle w:val="ListParagraph"/>
        <w:numPr>
          <w:ilvl w:val="0"/>
          <w:numId w:val="2"/>
        </w:numPr>
        <w:spacing w:after="60"/>
      </w:pPr>
      <w:r>
        <w:rPr>
          <w:rFonts w:ascii="Arial" w:cs="Arial" w:eastAsia="Arial" w:hAnsi="Arial"/>
          <w:sz w:val="20"/>
          <w:szCs w:val="20"/>
        </w:rPr>
        <w:t xml:space="preserve">Comptabilité d'engagement conforme au SYSCOHADA révisé et aux règles du syndicat des copropriétaires (art. 394-397)</w:t>
      </w:r>
    </w:p>
    <w:p>
      <w:pPr>
        <w:pStyle w:val="ListParagraph"/>
        <w:numPr>
          <w:ilvl w:val="0"/>
          <w:numId w:val="2"/>
        </w:numPr>
        <w:spacing w:after="60"/>
      </w:pPr>
      <w:r>
        <w:rPr>
          <w:rFonts w:ascii="Arial" w:cs="Arial" w:eastAsia="Arial" w:hAnsi="Arial"/>
          <w:sz w:val="20"/>
          <w:szCs w:val="20"/>
        </w:rPr>
        <w:t xml:space="preserve">Budgets prévisionnels multiples : charges courantes, fonds travaux, opérations exceptionnelles (cotisations art. 397)</w:t>
      </w:r>
    </w:p>
    <w:p>
      <w:pPr>
        <w:pStyle w:val="ListParagraph"/>
        <w:numPr>
          <w:ilvl w:val="0"/>
          <w:numId w:val="2"/>
        </w:numPr>
        <w:spacing w:after="60"/>
      </w:pPr>
      <w:r>
        <w:rPr>
          <w:rFonts w:ascii="Arial" w:cs="Arial" w:eastAsia="Arial" w:hAnsi="Arial"/>
          <w:sz w:val="20"/>
          <w:szCs w:val="20"/>
        </w:rPr>
        <w:t xml:space="preserve">Appels de fonds automatiques avec personnalisation du calendrier et des montants</w:t>
      </w:r>
    </w:p>
    <w:p>
      <w:pPr>
        <w:pStyle w:val="ListParagraph"/>
        <w:numPr>
          <w:ilvl w:val="0"/>
          <w:numId w:val="2"/>
        </w:numPr>
        <w:spacing w:after="60"/>
      </w:pPr>
      <w:r>
        <w:rPr>
          <w:rFonts w:ascii="Arial" w:cs="Arial" w:eastAsia="Arial" w:hAnsi="Arial"/>
          <w:sz w:val="20"/>
          <w:szCs w:val="20"/>
        </w:rPr>
        <w:t xml:space="preserve">Rapprochement bancaire automatisé (benchmark VILOGI et Powimo)</w:t>
      </w:r>
    </w:p>
    <w:p>
      <w:pPr>
        <w:pStyle w:val="ListParagraph"/>
        <w:numPr>
          <w:ilvl w:val="0"/>
          <w:numId w:val="2"/>
        </w:numPr>
        <w:spacing w:after="60"/>
      </w:pPr>
      <w:r>
        <w:rPr>
          <w:rFonts w:ascii="Arial" w:cs="Arial" w:eastAsia="Arial" w:hAnsi="Arial"/>
          <w:sz w:val="20"/>
          <w:szCs w:val="20"/>
        </w:rPr>
        <w:t xml:space="preserve">Reconnaissance intelligente de factures par OCR/IA (benchmark Powimo SPI S-FACT et KEL Syndic 360)</w:t>
      </w:r>
    </w:p>
    <w:p>
      <w:pPr>
        <w:pStyle w:val="ListParagraph"/>
        <w:numPr>
          <w:ilvl w:val="0"/>
          <w:numId w:val="2"/>
        </w:numPr>
        <w:spacing w:after="60"/>
      </w:pPr>
      <w:r>
        <w:rPr>
          <w:rFonts w:ascii="Arial" w:cs="Arial" w:eastAsia="Arial" w:hAnsi="Arial"/>
          <w:sz w:val="20"/>
          <w:szCs w:val="20"/>
        </w:rPr>
        <w:t xml:space="preserve">Répartition automatique des charges par clés multiples et multi-bâtiments</w:t>
      </w:r>
    </w:p>
    <w:p>
      <w:pPr>
        <w:pStyle w:val="ListParagraph"/>
        <w:numPr>
          <w:ilvl w:val="0"/>
          <w:numId w:val="2"/>
        </w:numPr>
        <w:spacing w:after="60"/>
      </w:pPr>
      <w:r>
        <w:rPr>
          <w:rFonts w:ascii="Arial" w:cs="Arial" w:eastAsia="Arial" w:hAnsi="Arial"/>
          <w:sz w:val="20"/>
          <w:szCs w:val="20"/>
        </w:rPr>
        <w:t xml:space="preserve">Gestion des impayés : alertes, relances graduées automatiques, mise en demeure, contentieux</w:t>
      </w:r>
    </w:p>
    <w:p>
      <w:pPr>
        <w:pStyle w:val="ListParagraph"/>
        <w:numPr>
          <w:ilvl w:val="0"/>
          <w:numId w:val="2"/>
        </w:numPr>
        <w:spacing w:after="60"/>
      </w:pPr>
      <w:r>
        <w:rPr>
          <w:rFonts w:ascii="Arial" w:cs="Arial" w:eastAsia="Arial" w:hAnsi="Arial"/>
          <w:sz w:val="20"/>
          <w:szCs w:val="20"/>
        </w:rPr>
        <w:t xml:space="preserve">Virement bancaire UEMOA/BCEAO et mobile money (Orange Money, MTN Money, Wave) intégrés</w:t>
      </w:r>
    </w:p>
    <w:p>
      <w:pPr>
        <w:pStyle w:val="ListParagraph"/>
        <w:numPr>
          <w:ilvl w:val="0"/>
          <w:numId w:val="2"/>
        </w:numPr>
        <w:spacing w:after="60"/>
      </w:pPr>
      <w:r>
        <w:rPr>
          <w:rFonts w:ascii="Arial" w:cs="Arial" w:eastAsia="Arial" w:hAnsi="Arial"/>
          <w:sz w:val="20"/>
          <w:szCs w:val="20"/>
        </w:rPr>
        <w:t xml:space="preserve">États financiers du syndicat conformes aux exigences du Code CCH et du SYSCOHADA</w:t>
      </w:r>
    </w:p>
    <w:p>
      <w:pPr>
        <w:pStyle w:val="ListParagraph"/>
        <w:numPr>
          <w:ilvl w:val="0"/>
          <w:numId w:val="2"/>
        </w:numPr>
        <w:spacing w:after="60"/>
      </w:pPr>
      <w:r>
        <w:rPr>
          <w:rFonts w:ascii="Arial" w:cs="Arial" w:eastAsia="Arial" w:hAnsi="Arial"/>
          <w:sz w:val="20"/>
          <w:szCs w:val="20"/>
        </w:rPr>
        <w:t xml:space="preserve">Export comptable pour audit et contrôle du conseil syndical (art. 393)</w:t>
      </w:r>
    </w:p>
    <w:p>
      <w:pPr>
        <w:pStyle w:val="ListParagraph"/>
        <w:numPr>
          <w:ilvl w:val="0"/>
          <w:numId w:val="2"/>
        </w:numPr>
        <w:spacing w:after="60"/>
      </w:pPr>
      <w:r>
        <w:rPr>
          <w:rFonts w:ascii="Arial" w:cs="Arial" w:eastAsia="Arial" w:hAnsi="Arial"/>
          <w:sz w:val="20"/>
          <w:szCs w:val="20"/>
        </w:rPr>
        <w:t xml:space="preserve">Écritures comptables récurrentes programmables (inspiration VILOGI)</w:t>
      </w:r>
    </w:p>
    <w:p>
      <w:pPr>
        <w:pStyle w:val="ListParagraph"/>
        <w:numPr>
          <w:ilvl w:val="0"/>
          <w:numId w:val="2"/>
        </w:numPr>
        <w:spacing w:after="60"/>
      </w:pPr>
      <w:r>
        <w:rPr>
          <w:rFonts w:ascii="Arial" w:cs="Arial" w:eastAsia="Arial" w:hAnsi="Arial"/>
          <w:sz w:val="20"/>
          <w:szCs w:val="20"/>
        </w:rPr>
        <w:t xml:space="preserve">Comptabilité spécifique baux commerciaux : loyers indexés (indice des prix des loyers, décret 81-148), pas-de-porte, dépôts de garantie</w:t>
      </w:r>
    </w:p>
    <w:p>
      <w:pPr>
        <w:pStyle w:val="Heading2"/>
      </w:pPr>
      <w:r>
        <w:t xml:space="preserve">3.4 Assemblées Générales</w:t>
      </w:r>
    </w:p>
    <w:p>
      <w:pPr>
        <w:spacing w:after="120"/>
      </w:pPr>
      <w:r>
        <w:rPr>
          <w:rFonts w:ascii="Arial" w:cs="Arial" w:eastAsia="Arial" w:hAnsi="Arial"/>
          <w:color w:val="333333"/>
          <w:sz w:val="22"/>
          <w:szCs w:val="22"/>
        </w:rPr>
        <w:t xml:space="preserve">Module complet de gestion des AG, de la convocation au PV, avec support hybride présentiel/distanciel.</w:t>
      </w:r>
    </w:p>
    <w:p>
      <w:pPr>
        <w:pStyle w:val="ListParagraph"/>
        <w:numPr>
          <w:ilvl w:val="0"/>
          <w:numId w:val="2"/>
        </w:numPr>
        <w:spacing w:after="60"/>
      </w:pPr>
      <w:r>
        <w:rPr>
          <w:rFonts w:ascii="Arial" w:cs="Arial" w:eastAsia="Arial" w:hAnsi="Arial"/>
          <w:sz w:val="20"/>
          <w:szCs w:val="20"/>
        </w:rPr>
        <w:t xml:space="preserve">Préparation automatisée : ordre du jour, résolutions types, documents annexes</w:t>
      </w:r>
    </w:p>
    <w:p>
      <w:pPr>
        <w:pStyle w:val="ListParagraph"/>
        <w:numPr>
          <w:ilvl w:val="0"/>
          <w:numId w:val="2"/>
        </w:numPr>
        <w:spacing w:after="60"/>
      </w:pPr>
      <w:r>
        <w:rPr>
          <w:rFonts w:ascii="Arial" w:cs="Arial" w:eastAsia="Arial" w:hAnsi="Arial"/>
          <w:sz w:val="20"/>
          <w:szCs w:val="20"/>
        </w:rPr>
        <w:t xml:space="preserve">Convocations conformes aux dispositions de l'AG (art. 388) avec lettre recommandée ou voie électronique</w:t>
      </w:r>
    </w:p>
    <w:p>
      <w:pPr>
        <w:pStyle w:val="ListParagraph"/>
        <w:numPr>
          <w:ilvl w:val="0"/>
          <w:numId w:val="2"/>
        </w:numPr>
        <w:spacing w:after="60"/>
      </w:pPr>
      <w:r>
        <w:rPr>
          <w:rFonts w:ascii="Arial" w:cs="Arial" w:eastAsia="Arial" w:hAnsi="Arial"/>
          <w:sz w:val="20"/>
          <w:szCs w:val="20"/>
        </w:rPr>
        <w:t xml:space="preserve">Vote à distance synchronisé en temps réel (benchmark VILOGI : app mobile vote AG)</w:t>
      </w:r>
    </w:p>
    <w:p>
      <w:pPr>
        <w:pStyle w:val="ListParagraph"/>
        <w:numPr>
          <w:ilvl w:val="0"/>
          <w:numId w:val="2"/>
        </w:numPr>
        <w:spacing w:after="60"/>
      </w:pPr>
      <w:r>
        <w:rPr>
          <w:rFonts w:ascii="Arial" w:cs="Arial" w:eastAsia="Arial" w:hAnsi="Arial"/>
          <w:sz w:val="20"/>
          <w:szCs w:val="20"/>
        </w:rPr>
        <w:t xml:space="preserve">AG en visioconférence intégrée (benchmark Matera : Zoom intégré, Powimo : visio native)</w:t>
      </w:r>
    </w:p>
    <w:p>
      <w:pPr>
        <w:pStyle w:val="ListParagraph"/>
        <w:numPr>
          <w:ilvl w:val="0"/>
          <w:numId w:val="2"/>
        </w:numPr>
        <w:spacing w:after="60"/>
      </w:pPr>
      <w:r>
        <w:rPr>
          <w:rFonts w:ascii="Arial" w:cs="Arial" w:eastAsia="Arial" w:hAnsi="Arial"/>
          <w:sz w:val="20"/>
          <w:szCs w:val="20"/>
        </w:rPr>
        <w:t xml:space="preserve">Calcul automatique du quorum et des majorités selon les règles du syndicat des copropriétaires</w:t>
      </w:r>
    </w:p>
    <w:p>
      <w:pPr>
        <w:pStyle w:val="ListParagraph"/>
        <w:numPr>
          <w:ilvl w:val="0"/>
          <w:numId w:val="2"/>
        </w:numPr>
        <w:spacing w:after="60"/>
      </w:pPr>
      <w:r>
        <w:rPr>
          <w:rFonts w:ascii="Arial" w:cs="Arial" w:eastAsia="Arial" w:hAnsi="Arial"/>
          <w:sz w:val="20"/>
          <w:szCs w:val="20"/>
        </w:rPr>
        <w:t xml:space="preserve">Feuille de présence et pouvoirs numérisés</w:t>
      </w:r>
    </w:p>
    <w:p>
      <w:pPr>
        <w:pStyle w:val="ListParagraph"/>
        <w:numPr>
          <w:ilvl w:val="0"/>
          <w:numId w:val="2"/>
        </w:numPr>
        <w:spacing w:after="60"/>
      </w:pPr>
      <w:r>
        <w:rPr>
          <w:rFonts w:ascii="Arial" w:cs="Arial" w:eastAsia="Arial" w:hAnsi="Arial"/>
          <w:sz w:val="20"/>
          <w:szCs w:val="20"/>
        </w:rPr>
        <w:t xml:space="preserve">Génération automatique du PV avec résultats des votes</w:t>
      </w:r>
    </w:p>
    <w:p>
      <w:pPr>
        <w:pStyle w:val="ListParagraph"/>
        <w:numPr>
          <w:ilvl w:val="0"/>
          <w:numId w:val="2"/>
        </w:numPr>
        <w:spacing w:after="60"/>
      </w:pPr>
      <w:r>
        <w:rPr>
          <w:rFonts w:ascii="Arial" w:cs="Arial" w:eastAsia="Arial" w:hAnsi="Arial"/>
          <w:sz w:val="20"/>
          <w:szCs w:val="20"/>
        </w:rPr>
        <w:t xml:space="preserve">Notification automatique des résolutions aux copropriétaires absents</w:t>
      </w:r>
    </w:p>
    <w:p>
      <w:pPr>
        <w:pStyle w:val="ListParagraph"/>
        <w:numPr>
          <w:ilvl w:val="0"/>
          <w:numId w:val="2"/>
        </w:numPr>
        <w:spacing w:after="60"/>
      </w:pPr>
      <w:r>
        <w:rPr>
          <w:rFonts w:ascii="Arial" w:cs="Arial" w:eastAsia="Arial" w:hAnsi="Arial"/>
          <w:sz w:val="20"/>
          <w:szCs w:val="20"/>
        </w:rPr>
        <w:t xml:space="preserve">Archivage GED de tous les documents AG</w:t>
      </w:r>
    </w:p>
    <w:p>
      <w:pPr>
        <w:pStyle w:val="Heading2"/>
      </w:pPr>
      <w:r>
        <w:t xml:space="preserve">3.5 Gestion locative intégrée</w:t>
      </w:r>
    </w:p>
    <w:p>
      <w:pPr>
        <w:pStyle w:val="ListParagraph"/>
        <w:numPr>
          <w:ilvl w:val="0"/>
          <w:numId w:val="2"/>
        </w:numPr>
        <w:spacing w:after="60"/>
      </w:pPr>
      <w:r>
        <w:rPr>
          <w:rFonts w:ascii="Arial" w:cs="Arial" w:eastAsia="Arial" w:hAnsi="Arial"/>
          <w:sz w:val="20"/>
          <w:szCs w:val="20"/>
        </w:rPr>
        <w:t xml:space="preserve">Gestion des baux résidentiels et commerciaux dans le même environnement</w:t>
      </w:r>
    </w:p>
    <w:p>
      <w:pPr>
        <w:pStyle w:val="ListParagraph"/>
        <w:numPr>
          <w:ilvl w:val="0"/>
          <w:numId w:val="2"/>
        </w:numPr>
        <w:spacing w:after="60"/>
      </w:pPr>
      <w:r>
        <w:rPr>
          <w:rFonts w:ascii="Arial" w:cs="Arial" w:eastAsia="Arial" w:hAnsi="Arial"/>
          <w:sz w:val="20"/>
          <w:szCs w:val="20"/>
        </w:rPr>
        <w:t xml:space="preserve">Baux résidentiels : Code CCH art. 414-450, caution max 2 mois (art. 416), révision triennale (art. 423-424)</w:t>
      </w:r>
    </w:p>
    <w:p>
      <w:pPr>
        <w:pStyle w:val="ListParagraph"/>
        <w:numPr>
          <w:ilvl w:val="0"/>
          <w:numId w:val="2"/>
        </w:numPr>
        <w:spacing w:after="60"/>
      </w:pPr>
      <w:r>
        <w:rPr>
          <w:rFonts w:ascii="Arial" w:cs="Arial" w:eastAsia="Arial" w:hAnsi="Arial"/>
          <w:sz w:val="20"/>
          <w:szCs w:val="20"/>
        </w:rPr>
        <w:t xml:space="preserve">Baux commerciaux : Loi 80-1069 et AUDCG OHADA (art. 101-134), durée libre, révision triennale, droit au renouvellement après 3 ans</w:t>
      </w:r>
    </w:p>
    <w:p>
      <w:pPr>
        <w:pStyle w:val="ListParagraph"/>
        <w:numPr>
          <w:ilvl w:val="0"/>
          <w:numId w:val="2"/>
        </w:numPr>
        <w:spacing w:after="60"/>
      </w:pPr>
      <w:r>
        <w:rPr>
          <w:rFonts w:ascii="Arial" w:cs="Arial" w:eastAsia="Arial" w:hAnsi="Arial"/>
          <w:sz w:val="20"/>
          <w:szCs w:val="20"/>
        </w:rPr>
        <w:t xml:space="preserve">Quittancement automatique et envoi dématérialisé</w:t>
      </w:r>
    </w:p>
    <w:p>
      <w:pPr>
        <w:pStyle w:val="ListParagraph"/>
        <w:numPr>
          <w:ilvl w:val="0"/>
          <w:numId w:val="2"/>
        </w:numPr>
        <w:spacing w:after="60"/>
      </w:pPr>
      <w:r>
        <w:rPr>
          <w:rFonts w:ascii="Arial" w:cs="Arial" w:eastAsia="Arial" w:hAnsi="Arial"/>
          <w:sz w:val="20"/>
          <w:szCs w:val="20"/>
        </w:rPr>
        <w:t xml:space="preserve">État des lieux contradictoire numérique sur mobile (art. 427 CCH, benchmark Powimo)</w:t>
      </w:r>
    </w:p>
    <w:p>
      <w:pPr>
        <w:pStyle w:val="ListParagraph"/>
        <w:numPr>
          <w:ilvl w:val="0"/>
          <w:numId w:val="2"/>
        </w:numPr>
        <w:spacing w:after="60"/>
      </w:pPr>
      <w:r>
        <w:rPr>
          <w:rFonts w:ascii="Arial" w:cs="Arial" w:eastAsia="Arial" w:hAnsi="Arial"/>
          <w:sz w:val="20"/>
          <w:szCs w:val="20"/>
        </w:rPr>
        <w:t xml:space="preserve">Gestion des dépôts de garantie (max 2 mois pour habitation art. 416 CCH) avec calcul automatique</w:t>
      </w:r>
    </w:p>
    <w:p>
      <w:pPr>
        <w:pStyle w:val="ListParagraph"/>
        <w:numPr>
          <w:ilvl w:val="0"/>
          <w:numId w:val="2"/>
        </w:numPr>
        <w:spacing w:after="60"/>
      </w:pPr>
      <w:r>
        <w:rPr>
          <w:rFonts w:ascii="Arial" w:cs="Arial" w:eastAsia="Arial" w:hAnsi="Arial"/>
          <w:sz w:val="20"/>
          <w:szCs w:val="20"/>
        </w:rPr>
        <w:t xml:space="preserve">CRG (Compte Rendu de Gestion) détaillé pour les bailleurs</w:t>
      </w:r>
    </w:p>
    <w:p>
      <w:pPr>
        <w:pStyle w:val="ListParagraph"/>
        <w:numPr>
          <w:ilvl w:val="0"/>
          <w:numId w:val="2"/>
        </w:numPr>
        <w:spacing w:after="60"/>
      </w:pPr>
      <w:r>
        <w:rPr>
          <w:rFonts w:ascii="Arial" w:cs="Arial" w:eastAsia="Arial" w:hAnsi="Arial"/>
          <w:sz w:val="20"/>
          <w:szCs w:val="20"/>
        </w:rPr>
        <w:t xml:space="preserve">Régularisation annuelle des charges locatives</w:t>
      </w:r>
    </w:p>
    <w:p>
      <w:pPr>
        <w:pStyle w:val="ListParagraph"/>
        <w:numPr>
          <w:ilvl w:val="0"/>
          <w:numId w:val="2"/>
        </w:numPr>
        <w:spacing w:after="60"/>
      </w:pPr>
      <w:r>
        <w:rPr>
          <w:rFonts w:ascii="Arial" w:cs="Arial" w:eastAsia="Arial" w:hAnsi="Arial"/>
          <w:sz w:val="20"/>
          <w:szCs w:val="20"/>
        </w:rPr>
        <w:t xml:space="preserve">Diffusion automatisée des annonces de location (benchmark Powimo/Septeo)</w:t>
      </w:r>
    </w:p>
    <w:p>
      <w:pPr>
        <w:pStyle w:val="ListParagraph"/>
        <w:numPr>
          <w:ilvl w:val="0"/>
          <w:numId w:val="2"/>
        </w:numPr>
        <w:spacing w:after="60"/>
      </w:pPr>
      <w:r>
        <w:rPr>
          <w:rFonts w:ascii="Arial" w:cs="Arial" w:eastAsia="Arial" w:hAnsi="Arial"/>
          <w:sz w:val="20"/>
          <w:szCs w:val="20"/>
        </w:rPr>
        <w:t xml:space="preserve">Gestion des candidatures locataires avec scoring</w:t>
      </w:r>
    </w:p>
    <w:p>
      <w:pPr>
        <w:pStyle w:val="Heading2"/>
      </w:pPr>
      <w:r>
        <w:t xml:space="preserve">3.6 Gestion des travaux et incidents</w:t>
      </w:r>
    </w:p>
    <w:p>
      <w:pPr>
        <w:pStyle w:val="ListParagraph"/>
        <w:numPr>
          <w:ilvl w:val="0"/>
          <w:numId w:val="2"/>
        </w:numPr>
        <w:spacing w:after="60"/>
      </w:pPr>
      <w:r>
        <w:rPr>
          <w:rFonts w:ascii="Arial" w:cs="Arial" w:eastAsia="Arial" w:hAnsi="Arial"/>
          <w:sz w:val="20"/>
          <w:szCs w:val="20"/>
        </w:rPr>
        <w:t xml:space="preserve">Ordres de service numériques avec workflow de validation</w:t>
      </w:r>
    </w:p>
    <w:p>
      <w:pPr>
        <w:pStyle w:val="ListParagraph"/>
        <w:numPr>
          <w:ilvl w:val="0"/>
          <w:numId w:val="2"/>
        </w:numPr>
        <w:spacing w:after="60"/>
      </w:pPr>
      <w:r>
        <w:rPr>
          <w:rFonts w:ascii="Arial" w:cs="Arial" w:eastAsia="Arial" w:hAnsi="Arial"/>
          <w:sz w:val="20"/>
          <w:szCs w:val="20"/>
        </w:rPr>
        <w:t xml:space="preserve">Suivi des sinistres avec déclaration, expertise et indemnisation</w:t>
      </w:r>
    </w:p>
    <w:p>
      <w:pPr>
        <w:pStyle w:val="ListParagraph"/>
        <w:numPr>
          <w:ilvl w:val="0"/>
          <w:numId w:val="2"/>
        </w:numPr>
        <w:spacing w:after="60"/>
      </w:pPr>
      <w:r>
        <w:rPr>
          <w:rFonts w:ascii="Arial" w:cs="Arial" w:eastAsia="Arial" w:hAnsi="Arial"/>
          <w:sz w:val="20"/>
          <w:szCs w:val="20"/>
        </w:rPr>
        <w:t xml:space="preserve">Plan Pluriannuel de Travaux (PPT) avec budgétisation</w:t>
      </w:r>
    </w:p>
    <w:p>
      <w:pPr>
        <w:pStyle w:val="ListParagraph"/>
        <w:numPr>
          <w:ilvl w:val="0"/>
          <w:numId w:val="2"/>
        </w:numPr>
        <w:spacing w:after="60"/>
      </w:pPr>
      <w:r>
        <w:rPr>
          <w:rFonts w:ascii="Arial" w:cs="Arial" w:eastAsia="Arial" w:hAnsi="Arial"/>
          <w:sz w:val="20"/>
          <w:szCs w:val="20"/>
        </w:rPr>
        <w:t xml:space="preserve">Contrôle technique et conformité : suivi des obligations réglementaires (classifications bâtiments art. 9-10 CCH)</w:t>
      </w:r>
    </w:p>
    <w:p>
      <w:pPr>
        <w:pStyle w:val="ListParagraph"/>
        <w:numPr>
          <w:ilvl w:val="0"/>
          <w:numId w:val="2"/>
        </w:numPr>
        <w:spacing w:after="60"/>
      </w:pPr>
      <w:r>
        <w:rPr>
          <w:rFonts w:ascii="Arial" w:cs="Arial" w:eastAsia="Arial" w:hAnsi="Arial"/>
          <w:sz w:val="20"/>
          <w:szCs w:val="20"/>
        </w:rPr>
        <w:t xml:space="preserve">Mise en concurrence des prestataires avec tableau comparatif</w:t>
      </w:r>
    </w:p>
    <w:p>
      <w:pPr>
        <w:pStyle w:val="ListParagraph"/>
        <w:numPr>
          <w:ilvl w:val="0"/>
          <w:numId w:val="2"/>
        </w:numPr>
        <w:spacing w:after="60"/>
      </w:pPr>
      <w:r>
        <w:rPr>
          <w:rFonts w:ascii="Arial" w:cs="Arial" w:eastAsia="Arial" w:hAnsi="Arial"/>
          <w:sz w:val="20"/>
          <w:szCs w:val="20"/>
        </w:rPr>
        <w:t xml:space="preserve">Conformité fournisseurs automatique (benchmark Powimo : vérification labels)</w:t>
      </w:r>
    </w:p>
    <w:p>
      <w:pPr>
        <w:pStyle w:val="ListParagraph"/>
        <w:numPr>
          <w:ilvl w:val="0"/>
          <w:numId w:val="2"/>
        </w:numPr>
        <w:spacing w:after="60"/>
      </w:pPr>
      <w:r>
        <w:rPr>
          <w:rFonts w:ascii="Arial" w:cs="Arial" w:eastAsia="Arial" w:hAnsi="Arial"/>
          <w:sz w:val="20"/>
          <w:szCs w:val="20"/>
        </w:rPr>
        <w:t xml:space="preserve">Visite technique d'immeuble sur mobile avec rapport photo (benchmark VILOGI VTI et KEL Syndic 360)</w:t>
      </w:r>
    </w:p>
    <w:p>
      <w:pPr>
        <w:pStyle w:val="Heading2"/>
      </w:pPr>
      <w:r>
        <w:t xml:space="preserve">3.7 Communication et diffusion</w:t>
      </w:r>
    </w:p>
    <w:p>
      <w:pPr>
        <w:pStyle w:val="ListParagraph"/>
        <w:numPr>
          <w:ilvl w:val="0"/>
          <w:numId w:val="2"/>
        </w:numPr>
        <w:spacing w:after="60"/>
      </w:pPr>
      <w:r>
        <w:rPr>
          <w:rFonts w:ascii="Arial" w:cs="Arial" w:eastAsia="Arial" w:hAnsi="Arial"/>
          <w:sz w:val="20"/>
          <w:szCs w:val="20"/>
        </w:rPr>
        <w:t xml:space="preserve">Centre de communication multicanal : email, SMS, courrier postal, LRAR, notification push</w:t>
      </w:r>
    </w:p>
    <w:p>
      <w:pPr>
        <w:pStyle w:val="ListParagraph"/>
        <w:numPr>
          <w:ilvl w:val="0"/>
          <w:numId w:val="2"/>
        </w:numPr>
        <w:spacing w:after="60"/>
      </w:pPr>
      <w:r>
        <w:rPr>
          <w:rFonts w:ascii="Arial" w:cs="Arial" w:eastAsia="Arial" w:hAnsi="Arial"/>
          <w:sz w:val="20"/>
          <w:szCs w:val="20"/>
        </w:rPr>
        <w:t xml:space="preserve">Messagerie intégrée avec traçabilité complète des échanges (benchmark VILOGI)</w:t>
      </w:r>
    </w:p>
    <w:p>
      <w:pPr>
        <w:pStyle w:val="ListParagraph"/>
        <w:numPr>
          <w:ilvl w:val="0"/>
          <w:numId w:val="2"/>
        </w:numPr>
        <w:spacing w:after="60"/>
      </w:pPr>
      <w:r>
        <w:rPr>
          <w:rFonts w:ascii="Arial" w:cs="Arial" w:eastAsia="Arial" w:hAnsi="Arial"/>
          <w:sz w:val="20"/>
          <w:szCs w:val="20"/>
        </w:rPr>
        <w:t xml:space="preserve">Publipostage personnalisé avec modèles de documents</w:t>
      </w:r>
    </w:p>
    <w:p>
      <w:pPr>
        <w:pStyle w:val="ListParagraph"/>
        <w:numPr>
          <w:ilvl w:val="0"/>
          <w:numId w:val="2"/>
        </w:numPr>
        <w:spacing w:after="60"/>
      </w:pPr>
      <w:r>
        <w:rPr>
          <w:rFonts w:ascii="Arial" w:cs="Arial" w:eastAsia="Arial" w:hAnsi="Arial"/>
          <w:sz w:val="20"/>
          <w:szCs w:val="20"/>
        </w:rPr>
        <w:t xml:space="preserve">Externalisation courrier postal intégrée (benchmark KEL Doc, Septeo Print)</w:t>
      </w:r>
    </w:p>
    <w:p>
      <w:pPr>
        <w:pStyle w:val="ListParagraph"/>
        <w:numPr>
          <w:ilvl w:val="0"/>
          <w:numId w:val="2"/>
        </w:numPr>
        <w:spacing w:after="60"/>
      </w:pPr>
      <w:r>
        <w:rPr>
          <w:rFonts w:ascii="Arial" w:cs="Arial" w:eastAsia="Arial" w:hAnsi="Arial"/>
          <w:sz w:val="20"/>
          <w:szCs w:val="20"/>
        </w:rPr>
        <w:t xml:space="preserve">Signature électronique intégrée pour les documents contractuels</w:t>
      </w:r>
    </w:p>
    <w:p>
      <w:pPr>
        <w:pStyle w:val="Heading2"/>
      </w:pPr>
      <w:r>
        <w:t xml:space="preserve">3.8 Pilotage et reporting</w:t>
      </w:r>
    </w:p>
    <w:p>
      <w:pPr>
        <w:pStyle w:val="ListParagraph"/>
        <w:numPr>
          <w:ilvl w:val="0"/>
          <w:numId w:val="2"/>
        </w:numPr>
        <w:spacing w:after="60"/>
      </w:pPr>
      <w:r>
        <w:rPr>
          <w:rFonts w:ascii="Arial" w:cs="Arial" w:eastAsia="Arial" w:hAnsi="Arial"/>
          <w:sz w:val="20"/>
          <w:szCs w:val="20"/>
        </w:rPr>
        <w:t xml:space="preserve">Tableau de bord gestionnaire avec 50+ indicateurs clés (benchmark SPI Syndic)</w:t>
      </w:r>
    </w:p>
    <w:p>
      <w:pPr>
        <w:pStyle w:val="ListParagraph"/>
        <w:numPr>
          <w:ilvl w:val="0"/>
          <w:numId w:val="2"/>
        </w:numPr>
        <w:spacing w:after="60"/>
      </w:pPr>
      <w:r>
        <w:rPr>
          <w:rFonts w:ascii="Arial" w:cs="Arial" w:eastAsia="Arial" w:hAnsi="Arial"/>
          <w:sz w:val="20"/>
          <w:szCs w:val="20"/>
        </w:rPr>
        <w:t xml:space="preserve">KPI par gestionnaire : délais de réponse, rentabilité, performance comptable (benchmark Powimo)</w:t>
      </w:r>
    </w:p>
    <w:p>
      <w:pPr>
        <w:pStyle w:val="ListParagraph"/>
        <w:numPr>
          <w:ilvl w:val="0"/>
          <w:numId w:val="2"/>
        </w:numPr>
        <w:spacing w:after="60"/>
      </w:pPr>
      <w:r>
        <w:rPr>
          <w:rFonts w:ascii="Arial" w:cs="Arial" w:eastAsia="Arial" w:hAnsi="Arial"/>
          <w:sz w:val="20"/>
          <w:szCs w:val="20"/>
        </w:rPr>
        <w:t xml:space="preserve">DataHub connectible à des outils BI externes : Power BI, Tableau (benchmark Powimo Datahub)</w:t>
      </w:r>
    </w:p>
    <w:p>
      <w:pPr>
        <w:pStyle w:val="ListParagraph"/>
        <w:numPr>
          <w:ilvl w:val="0"/>
          <w:numId w:val="2"/>
        </w:numPr>
        <w:spacing w:after="60"/>
      </w:pPr>
      <w:r>
        <w:rPr>
          <w:rFonts w:ascii="Arial" w:cs="Arial" w:eastAsia="Arial" w:hAnsi="Arial"/>
          <w:sz w:val="20"/>
          <w:szCs w:val="20"/>
        </w:rPr>
        <w:t xml:space="preserve">Alertes automatiques : impayés, échéances contrats, conformité, mandats</w:t>
      </w:r>
    </w:p>
    <w:p>
      <w:pPr>
        <w:pStyle w:val="ListParagraph"/>
        <w:numPr>
          <w:ilvl w:val="0"/>
          <w:numId w:val="2"/>
        </w:numPr>
        <w:spacing w:after="60"/>
      </w:pPr>
      <w:r>
        <w:rPr>
          <w:rFonts w:ascii="Arial" w:cs="Arial" w:eastAsia="Arial" w:hAnsi="Arial"/>
          <w:sz w:val="20"/>
          <w:szCs w:val="20"/>
        </w:rPr>
        <w:t xml:space="preserve">Agenda synchronisé avec Gmail et Outlook (benchmark VILOGI)</w:t>
      </w:r>
    </w:p>
    <w:p>
      <w:r>
        <w:br w:type="page"/>
      </w:r>
    </w:p>
    <w:p>
      <w:pPr>
        <w:pStyle w:val="Heading2"/>
      </w:pPr>
      <w:r>
        <w:t xml:space="preserve">3.9 Module de paramétrage (desktop uniquement)</w:t>
      </w:r>
    </w:p>
    <w:p>
      <w:pPr>
        <w:spacing w:after="120"/>
      </w:pPr>
      <w:r>
        <w:rPr>
          <w:rFonts w:ascii="Arial" w:cs="Arial" w:eastAsia="Arial" w:hAnsi="Arial"/>
          <w:b/>
          <w:bCs/>
          <w:color w:val="333333"/>
          <w:sz w:val="22"/>
          <w:szCs w:val="22"/>
        </w:rPr>
        <w:t xml:space="preserve">Le module de paramétrage centralise TOUTES les valeurs configurables du système. Aucun taux, montant, seuil ou pourcentage n'est codé en dur dans l'application. Chaque paramètre dispose d'un historique de modifications et d'un contrôle d'accès (seul le profil administrateur syndic peut modifier).</w:t>
      </w:r>
    </w:p>
    <w:p>
      <w:pPr>
        <w:spacing w:after="200"/>
      </w:pPr>
    </w:p>
    <w:p>
      <w:pPr>
        <w:spacing w:after="120"/>
      </w:pPr>
      <w:r>
        <w:rPr>
          <w:rFonts w:ascii="Arial" w:cs="Arial" w:eastAsia="Arial" w:hAnsi="Arial"/>
          <w:b/>
          <w:bCs/>
          <w:color w:val="1B4F72"/>
          <w:sz w:val="22"/>
          <w:szCs w:val="22"/>
        </w:rPr>
        <w:t xml:space="preserve">3.9.1 Paramètres financiers et comptables</w:t>
      </w:r>
    </w:p>
    <w:p>
      <w:pPr>
        <w:pStyle w:val="ListParagraph"/>
        <w:numPr>
          <w:ilvl w:val="0"/>
          <w:numId w:val="2"/>
        </w:numPr>
        <w:spacing w:after="60"/>
      </w:pPr>
      <w:r>
        <w:rPr>
          <w:rFonts w:ascii="Arial" w:cs="Arial" w:eastAsia="Arial" w:hAnsi="Arial"/>
          <w:sz w:val="20"/>
          <w:szCs w:val="20"/>
        </w:rPr>
        <w:t xml:space="preserve">Taux de gestion locative (valeur initiale : 6% TTC) — applicable par type de lot ou globalement</w:t>
      </w:r>
    </w:p>
    <w:p>
      <w:pPr>
        <w:pStyle w:val="ListParagraph"/>
        <w:numPr>
          <w:ilvl w:val="0"/>
          <w:numId w:val="2"/>
        </w:numPr>
        <w:spacing w:after="60"/>
      </w:pPr>
      <w:r>
        <w:rPr>
          <w:rFonts w:ascii="Arial" w:cs="Arial" w:eastAsia="Arial" w:hAnsi="Arial"/>
          <w:sz w:val="20"/>
          <w:szCs w:val="20"/>
        </w:rPr>
        <w:t xml:space="preserve">Taux de rémunération du syndic — copropriété horizontale (init. 20%) et verticale (init. 20%) — alerte si &gt; 30% (plafond art. 397 CCH)</w:t>
      </w:r>
    </w:p>
    <w:p>
      <w:pPr>
        <w:pStyle w:val="ListParagraph"/>
        <w:numPr>
          <w:ilvl w:val="0"/>
          <w:numId w:val="2"/>
        </w:numPr>
        <w:spacing w:after="60"/>
      </w:pPr>
      <w:r>
        <w:rPr>
          <w:rFonts w:ascii="Arial" w:cs="Arial" w:eastAsia="Arial" w:hAnsi="Arial"/>
          <w:sz w:val="20"/>
          <w:szCs w:val="20"/>
        </w:rPr>
        <w:t xml:space="preserve">Frais d'enregistrement immobilier (init. 8,3%) — utilisé pour les simulations d'acquisition</w:t>
      </w:r>
    </w:p>
    <w:p>
      <w:pPr>
        <w:pStyle w:val="ListParagraph"/>
        <w:numPr>
          <w:ilvl w:val="0"/>
          <w:numId w:val="2"/>
        </w:numPr>
        <w:spacing w:after="60"/>
      </w:pPr>
      <w:r>
        <w:rPr>
          <w:rFonts w:ascii="Arial" w:cs="Arial" w:eastAsia="Arial" w:hAnsi="Arial"/>
          <w:sz w:val="20"/>
          <w:szCs w:val="20"/>
        </w:rPr>
        <w:t xml:space="preserve">Frais de commercialisation (init. 6% TTC) + frais de dossier fixes (init. 500 000 FCFA)</w:t>
      </w:r>
    </w:p>
    <w:p>
      <w:pPr>
        <w:pStyle w:val="ListParagraph"/>
        <w:numPr>
          <w:ilvl w:val="0"/>
          <w:numId w:val="2"/>
        </w:numPr>
        <w:spacing w:after="60"/>
      </w:pPr>
      <w:r>
        <w:rPr>
          <w:rFonts w:ascii="Arial" w:cs="Arial" w:eastAsia="Arial" w:hAnsi="Arial"/>
          <w:sz w:val="20"/>
          <w:szCs w:val="20"/>
        </w:rPr>
        <w:t xml:space="preserve">Taux de TVA par type de prestation (standard, réduit, exonéré)</w:t>
      </w:r>
    </w:p>
    <w:p>
      <w:pPr>
        <w:pStyle w:val="ListParagraph"/>
        <w:numPr>
          <w:ilvl w:val="0"/>
          <w:numId w:val="2"/>
        </w:numPr>
        <w:spacing w:after="60"/>
      </w:pPr>
      <w:r>
        <w:rPr>
          <w:rFonts w:ascii="Arial" w:cs="Arial" w:eastAsia="Arial" w:hAnsi="Arial"/>
          <w:sz w:val="20"/>
          <w:szCs w:val="20"/>
        </w:rPr>
        <w:t xml:space="preserve">Taux de pénalités de retard sur impayés (configurable par copropriété)</w:t>
      </w:r>
    </w:p>
    <w:p>
      <w:pPr>
        <w:pStyle w:val="ListParagraph"/>
        <w:numPr>
          <w:ilvl w:val="0"/>
          <w:numId w:val="2"/>
        </w:numPr>
        <w:spacing w:after="60"/>
      </w:pPr>
      <w:r>
        <w:rPr>
          <w:rFonts w:ascii="Arial" w:cs="Arial" w:eastAsia="Arial" w:hAnsi="Arial"/>
          <w:sz w:val="20"/>
          <w:szCs w:val="20"/>
        </w:rPr>
        <w:t xml:space="preserve">Remise pour paiement comptant (init. 5%)</w:t>
      </w:r>
    </w:p>
    <w:p>
      <w:pPr>
        <w:pStyle w:val="ListParagraph"/>
        <w:numPr>
          <w:ilvl w:val="0"/>
          <w:numId w:val="2"/>
        </w:numPr>
        <w:spacing w:after="60"/>
      </w:pPr>
      <w:r>
        <w:rPr>
          <w:rFonts w:ascii="Arial" w:cs="Arial" w:eastAsia="Arial" w:hAnsi="Arial"/>
          <w:sz w:val="20"/>
          <w:szCs w:val="20"/>
        </w:rPr>
        <w:t xml:space="preserve">Indice de révision des loyers commerciaux : source (décret 81-148), formule de calcul, fréquence</w:t>
      </w:r>
    </w:p>
    <w:p>
      <w:pPr>
        <w:pStyle w:val="ListParagraph"/>
        <w:numPr>
          <w:ilvl w:val="0"/>
          <w:numId w:val="2"/>
        </w:numPr>
        <w:spacing w:after="60"/>
      </w:pPr>
      <w:r>
        <w:rPr>
          <w:rFonts w:ascii="Arial" w:cs="Arial" w:eastAsia="Arial" w:hAnsi="Arial"/>
          <w:sz w:val="20"/>
          <w:szCs w:val="20"/>
        </w:rPr>
        <w:t xml:space="preserve">Indice de révision des loyers d'habitation : périodicité (init. 3 ans, art. 423 CCH)</w:t>
      </w:r>
    </w:p>
    <w:p>
      <w:pPr>
        <w:spacing w:after="200"/>
      </w:pPr>
    </w:p>
    <w:p>
      <w:pPr>
        <w:spacing w:after="120"/>
      </w:pPr>
      <w:r>
        <w:rPr>
          <w:rFonts w:ascii="Arial" w:cs="Arial" w:eastAsia="Arial" w:hAnsi="Arial"/>
          <w:b/>
          <w:bCs/>
          <w:color w:val="1B4F72"/>
          <w:sz w:val="22"/>
          <w:szCs w:val="22"/>
        </w:rPr>
        <w:t xml:space="preserve">3.9.2 Paramètres des charges de copropriété</w:t>
      </w:r>
    </w:p>
    <w:p>
      <w:pPr>
        <w:pStyle w:val="ListParagraph"/>
        <w:numPr>
          <w:ilvl w:val="0"/>
          <w:numId w:val="2"/>
        </w:numPr>
        <w:spacing w:after="60"/>
      </w:pPr>
      <w:r>
        <w:rPr>
          <w:rFonts w:ascii="Arial" w:cs="Arial" w:eastAsia="Arial" w:hAnsi="Arial"/>
          <w:sz w:val="20"/>
          <w:szCs w:val="20"/>
        </w:rPr>
        <w:t xml:space="preserve">Copropriété horizontale : chaque poste de charge du tableau (espaces verts, sécurité, STEP, etc.) est un paramètre modifiable avec coût unitaire, nombre d'agents, fréquence</w:t>
      </w:r>
    </w:p>
    <w:p>
      <w:pPr>
        <w:pStyle w:val="ListParagraph"/>
        <w:numPr>
          <w:ilvl w:val="0"/>
          <w:numId w:val="2"/>
        </w:numPr>
        <w:spacing w:after="60"/>
      </w:pPr>
      <w:r>
        <w:rPr>
          <w:rFonts w:ascii="Arial" w:cs="Arial" w:eastAsia="Arial" w:hAnsi="Arial"/>
          <w:sz w:val="20"/>
          <w:szCs w:val="20"/>
        </w:rPr>
        <w:t xml:space="preserve">Copropriété verticale (par immeuble) : mêmes principes — nettoyage, ascenseur, groupe électrogène, etc.</w:t>
      </w:r>
    </w:p>
    <w:p>
      <w:pPr>
        <w:pStyle w:val="ListParagraph"/>
        <w:numPr>
          <w:ilvl w:val="0"/>
          <w:numId w:val="2"/>
        </w:numPr>
        <w:spacing w:after="60"/>
      </w:pPr>
      <w:r>
        <w:rPr>
          <w:rFonts w:ascii="Arial" w:cs="Arial" w:eastAsia="Arial" w:hAnsi="Arial"/>
          <w:sz w:val="20"/>
          <w:szCs w:val="20"/>
        </w:rPr>
        <w:t xml:space="preserve">Taux d'imprévus (init. 10%) applicable automatiquement sur le total des charges</w:t>
      </w:r>
    </w:p>
    <w:p>
      <w:pPr>
        <w:pStyle w:val="ListParagraph"/>
        <w:numPr>
          <w:ilvl w:val="0"/>
          <w:numId w:val="2"/>
        </w:numPr>
        <w:spacing w:after="60"/>
      </w:pPr>
      <w:r>
        <w:rPr>
          <w:rFonts w:ascii="Arial" w:cs="Arial" w:eastAsia="Arial" w:hAnsi="Arial"/>
          <w:sz w:val="20"/>
          <w:szCs w:val="20"/>
        </w:rPr>
        <w:t xml:space="preserve">Quote-part copropriété horizontale par immeuble (init. 500 000 FCFA/mois) — paramétrable selon tantièmes</w:t>
      </w:r>
    </w:p>
    <w:p>
      <w:pPr>
        <w:pStyle w:val="ListParagraph"/>
        <w:numPr>
          <w:ilvl w:val="0"/>
          <w:numId w:val="2"/>
        </w:numPr>
        <w:spacing w:after="60"/>
      </w:pPr>
      <w:r>
        <w:rPr>
          <w:rFonts w:ascii="Arial" w:cs="Arial" w:eastAsia="Arial" w:hAnsi="Arial"/>
          <w:sz w:val="20"/>
          <w:szCs w:val="20"/>
        </w:rPr>
        <w:t xml:space="preserve">Clés de répartition des charges : par tantièmes, par surface, par usage, mixte — configurables par copropriété</w:t>
      </w:r>
    </w:p>
    <w:p>
      <w:pPr>
        <w:spacing w:after="200"/>
      </w:pPr>
    </w:p>
    <w:p>
      <w:pPr>
        <w:spacing w:after="120"/>
      </w:pPr>
      <w:r>
        <w:rPr>
          <w:rFonts w:ascii="Arial" w:cs="Arial" w:eastAsia="Arial" w:hAnsi="Arial"/>
          <w:b/>
          <w:bCs/>
          <w:color w:val="1B4F72"/>
          <w:sz w:val="22"/>
          <w:szCs w:val="22"/>
        </w:rPr>
        <w:t xml:space="preserve">3.9.3 Paramètres des baux</w:t>
      </w:r>
    </w:p>
    <w:p>
      <w:pPr>
        <w:pStyle w:val="ListParagraph"/>
        <w:numPr>
          <w:ilvl w:val="0"/>
          <w:numId w:val="2"/>
        </w:numPr>
        <w:spacing w:after="60"/>
      </w:pPr>
      <w:r>
        <w:rPr>
          <w:rFonts w:ascii="Arial" w:cs="Arial" w:eastAsia="Arial" w:hAnsi="Arial"/>
          <w:sz w:val="20"/>
          <w:szCs w:val="20"/>
        </w:rPr>
        <w:t xml:space="preserve">Caution maximale bail habitation (init. 2 mois, art. 416 CCH) — GreenSyndic bloque toute saisie supérieure</w:t>
      </w:r>
    </w:p>
    <w:p>
      <w:pPr>
        <w:pStyle w:val="ListParagraph"/>
        <w:numPr>
          <w:ilvl w:val="0"/>
          <w:numId w:val="2"/>
        </w:numPr>
        <w:spacing w:after="60"/>
      </w:pPr>
      <w:r>
        <w:rPr>
          <w:rFonts w:ascii="Arial" w:cs="Arial" w:eastAsia="Arial" w:hAnsi="Arial"/>
          <w:sz w:val="20"/>
          <w:szCs w:val="20"/>
        </w:rPr>
        <w:t xml:space="preserve">Durée de préavis bail habitation et bail commercial</w:t>
      </w:r>
    </w:p>
    <w:p>
      <w:pPr>
        <w:pStyle w:val="ListParagraph"/>
        <w:numPr>
          <w:ilvl w:val="0"/>
          <w:numId w:val="2"/>
        </w:numPr>
        <w:spacing w:after="60"/>
      </w:pPr>
      <w:r>
        <w:rPr>
          <w:rFonts w:ascii="Arial" w:cs="Arial" w:eastAsia="Arial" w:hAnsi="Arial"/>
          <w:sz w:val="20"/>
          <w:szCs w:val="20"/>
        </w:rPr>
        <w:t xml:space="preserve">Délai de congé bail commercial (init. 6 mois, AUDCG art. 103)</w:t>
      </w:r>
    </w:p>
    <w:p>
      <w:pPr>
        <w:pStyle w:val="ListParagraph"/>
        <w:numPr>
          <w:ilvl w:val="0"/>
          <w:numId w:val="2"/>
        </w:numPr>
        <w:spacing w:after="60"/>
      </w:pPr>
      <w:r>
        <w:rPr>
          <w:rFonts w:ascii="Arial" w:cs="Arial" w:eastAsia="Arial" w:hAnsi="Arial"/>
          <w:sz w:val="20"/>
          <w:szCs w:val="20"/>
        </w:rPr>
        <w:t xml:space="preserve">Durée minimale pour droit au renouvellement bail commercial (init. 3 ans, AUDCG)</w:t>
      </w:r>
    </w:p>
    <w:p>
      <w:pPr>
        <w:pStyle w:val="ListParagraph"/>
        <w:numPr>
          <w:ilvl w:val="0"/>
          <w:numId w:val="2"/>
        </w:numPr>
        <w:spacing w:after="60"/>
      </w:pPr>
      <w:r>
        <w:rPr>
          <w:rFonts w:ascii="Arial" w:cs="Arial" w:eastAsia="Arial" w:hAnsi="Arial"/>
          <w:sz w:val="20"/>
          <w:szCs w:val="20"/>
        </w:rPr>
        <w:t xml:space="preserve">Modèles de paiement VEFA : nombre de phases, pourcentage acompte, durée max mensualités — entièrement configurables</w:t>
      </w:r>
    </w:p>
    <w:p>
      <w:pPr>
        <w:spacing w:after="200"/>
      </w:pPr>
    </w:p>
    <w:p>
      <w:pPr>
        <w:spacing w:after="120"/>
      </w:pPr>
      <w:r>
        <w:rPr>
          <w:rFonts w:ascii="Arial" w:cs="Arial" w:eastAsia="Arial" w:hAnsi="Arial"/>
          <w:b/>
          <w:bCs/>
          <w:color w:val="1B4F72"/>
          <w:sz w:val="22"/>
          <w:szCs w:val="22"/>
        </w:rPr>
        <w:t xml:space="preserve">3.9.4 Paramètres d'alertes et seuils</w:t>
      </w:r>
    </w:p>
    <w:p>
      <w:pPr>
        <w:pStyle w:val="ListParagraph"/>
        <w:numPr>
          <w:ilvl w:val="0"/>
          <w:numId w:val="2"/>
        </w:numPr>
        <w:spacing w:after="60"/>
      </w:pPr>
      <w:r>
        <w:rPr>
          <w:rFonts w:ascii="Arial" w:cs="Arial" w:eastAsia="Arial" w:hAnsi="Arial"/>
          <w:sz w:val="20"/>
          <w:szCs w:val="20"/>
        </w:rPr>
        <w:t xml:space="preserve">Seuil d'alerte impayés : nombre de jours (init. 30, 60, 90) et montants</w:t>
      </w:r>
    </w:p>
    <w:p>
      <w:pPr>
        <w:pStyle w:val="ListParagraph"/>
        <w:numPr>
          <w:ilvl w:val="0"/>
          <w:numId w:val="2"/>
        </w:numPr>
        <w:spacing w:after="60"/>
      </w:pPr>
      <w:r>
        <w:rPr>
          <w:rFonts w:ascii="Arial" w:cs="Arial" w:eastAsia="Arial" w:hAnsi="Arial"/>
          <w:sz w:val="20"/>
          <w:szCs w:val="20"/>
        </w:rPr>
        <w:t xml:space="preserve">Seuil de relance automatique : paramétrable par type (SMS, email, mise en demeure)</w:t>
      </w:r>
    </w:p>
    <w:p>
      <w:pPr>
        <w:pStyle w:val="ListParagraph"/>
        <w:numPr>
          <w:ilvl w:val="0"/>
          <w:numId w:val="2"/>
        </w:numPr>
        <w:spacing w:after="60"/>
      </w:pPr>
      <w:r>
        <w:rPr>
          <w:rFonts w:ascii="Arial" w:cs="Arial" w:eastAsia="Arial" w:hAnsi="Arial"/>
          <w:sz w:val="20"/>
          <w:szCs w:val="20"/>
        </w:rPr>
        <w:t xml:space="preserve">Alertes échéances : nombre de jours avant expiration bail, contrat, mandat syndic</w:t>
      </w:r>
    </w:p>
    <w:p>
      <w:pPr>
        <w:pStyle w:val="ListParagraph"/>
        <w:numPr>
          <w:ilvl w:val="0"/>
          <w:numId w:val="2"/>
        </w:numPr>
        <w:spacing w:after="60"/>
      </w:pPr>
      <w:r>
        <w:rPr>
          <w:rFonts w:ascii="Arial" w:cs="Arial" w:eastAsia="Arial" w:hAnsi="Arial"/>
          <w:sz w:val="20"/>
          <w:szCs w:val="20"/>
        </w:rPr>
        <w:t xml:space="preserve">Alertes conformité fournisseurs : documents à vérifier, périodicité</w:t>
      </w:r>
    </w:p>
    <w:p>
      <w:pPr>
        <w:pStyle w:val="ListParagraph"/>
        <w:numPr>
          <w:ilvl w:val="0"/>
          <w:numId w:val="2"/>
        </w:numPr>
        <w:spacing w:after="60"/>
      </w:pPr>
      <w:r>
        <w:rPr>
          <w:rFonts w:ascii="Arial" w:cs="Arial" w:eastAsia="Arial" w:hAnsi="Arial"/>
          <w:sz w:val="20"/>
          <w:szCs w:val="20"/>
        </w:rPr>
        <w:t xml:space="preserve">Alertes budgétaires : seuil de dépassement en % par rapport au prévisionnel</w:t>
      </w:r>
    </w:p>
    <w:p>
      <w:pPr>
        <w:spacing w:after="200"/>
      </w:pPr>
    </w:p>
    <w:p>
      <w:pPr>
        <w:spacing w:after="120"/>
      </w:pPr>
      <w:r>
        <w:rPr>
          <w:rFonts w:ascii="Arial" w:cs="Arial" w:eastAsia="Arial" w:hAnsi="Arial"/>
          <w:b/>
          <w:bCs/>
          <w:color w:val="1B4F72"/>
          <w:sz w:val="22"/>
          <w:szCs w:val="22"/>
        </w:rPr>
        <w:t xml:space="preserve">3.9.5 Paramètres système et copropriétés</w:t>
      </w:r>
    </w:p>
    <w:p>
      <w:pPr>
        <w:pStyle w:val="ListParagraph"/>
        <w:numPr>
          <w:ilvl w:val="0"/>
          <w:numId w:val="2"/>
        </w:numPr>
        <w:spacing w:after="60"/>
      </w:pPr>
      <w:r>
        <w:rPr>
          <w:rFonts w:ascii="Arial" w:cs="Arial" w:eastAsia="Arial" w:hAnsi="Arial"/>
          <w:sz w:val="20"/>
          <w:szCs w:val="20"/>
        </w:rPr>
        <w:t xml:space="preserve">Configuration des copropriétés : nom, adresse, type (horizontale/verticale), logo, coordonnées syndic</w:t>
      </w:r>
    </w:p>
    <w:p>
      <w:pPr>
        <w:pStyle w:val="ListParagraph"/>
        <w:numPr>
          <w:ilvl w:val="0"/>
          <w:numId w:val="2"/>
        </w:numPr>
        <w:spacing w:after="60"/>
      </w:pPr>
      <w:r>
        <w:rPr>
          <w:rFonts w:ascii="Arial" w:cs="Arial" w:eastAsia="Arial" w:hAnsi="Arial"/>
          <w:sz w:val="20"/>
          <w:szCs w:val="20"/>
        </w:rPr>
        <w:t xml:space="preserve">Configuration multi-devises : FCFA par défaut, possibilité d'ajouter EUR pour les propriétaires étrangers</w:t>
      </w:r>
    </w:p>
    <w:p>
      <w:pPr>
        <w:pStyle w:val="ListParagraph"/>
        <w:numPr>
          <w:ilvl w:val="0"/>
          <w:numId w:val="2"/>
        </w:numPr>
        <w:spacing w:after="60"/>
      </w:pPr>
      <w:r>
        <w:rPr>
          <w:rFonts w:ascii="Arial" w:cs="Arial" w:eastAsia="Arial" w:hAnsi="Arial"/>
          <w:sz w:val="20"/>
          <w:szCs w:val="20"/>
        </w:rPr>
        <w:t xml:space="preserve">Modèles de documents : courriers, mises en demeure, convocations AG, PV — personnalisables</w:t>
      </w:r>
    </w:p>
    <w:p>
      <w:pPr>
        <w:pStyle w:val="ListParagraph"/>
        <w:numPr>
          <w:ilvl w:val="0"/>
          <w:numId w:val="2"/>
        </w:numPr>
        <w:spacing w:after="60"/>
      </w:pPr>
      <w:r>
        <w:rPr>
          <w:rFonts w:ascii="Arial" w:cs="Arial" w:eastAsia="Arial" w:hAnsi="Arial"/>
          <w:sz w:val="20"/>
          <w:szCs w:val="20"/>
        </w:rPr>
        <w:t xml:space="preserve">Paramètres de notification : canaux (push, SMS, email), fréquence, types d'événements</w:t>
      </w:r>
    </w:p>
    <w:p>
      <w:pPr>
        <w:pStyle w:val="ListParagraph"/>
        <w:numPr>
          <w:ilvl w:val="0"/>
          <w:numId w:val="2"/>
        </w:numPr>
        <w:spacing w:after="60"/>
      </w:pPr>
      <w:r>
        <w:rPr>
          <w:rFonts w:ascii="Arial" w:cs="Arial" w:eastAsia="Arial" w:hAnsi="Arial"/>
          <w:sz w:val="20"/>
          <w:szCs w:val="20"/>
        </w:rPr>
        <w:t xml:space="preserve">Gestion des utilisateurs et des rôles : administrateur, gestionnaire, comptable, terrain, lecture seule</w:t>
      </w:r>
    </w:p>
    <w:p>
      <w:pPr>
        <w:pStyle w:val="ListParagraph"/>
        <w:numPr>
          <w:ilvl w:val="0"/>
          <w:numId w:val="2"/>
        </w:numPr>
        <w:spacing w:after="60"/>
      </w:pPr>
      <w:r>
        <w:rPr>
          <w:rFonts w:ascii="Arial" w:cs="Arial" w:eastAsia="Arial" w:hAnsi="Arial"/>
          <w:sz w:val="20"/>
          <w:szCs w:val="20"/>
        </w:rPr>
        <w:t xml:space="preserve">Configuration de l'exercice comptable : date de début/fin, périodes de clôture</w:t>
      </w:r>
    </w:p>
    <w:p>
      <w:pPr>
        <w:spacing w:after="200"/>
      </w:pPr>
    </w:p>
    <w:p>
      <w:pPr>
        <w:spacing w:after="120"/>
      </w:pPr>
      <w:r>
        <w:rPr>
          <w:rFonts w:ascii="Arial" w:cs="Arial" w:eastAsia="Arial" w:hAnsi="Arial"/>
          <w:b/>
          <w:bCs/>
          <w:color w:val="1B4F72"/>
          <w:sz w:val="22"/>
          <w:szCs w:val="22"/>
        </w:rPr>
        <w:t xml:space="preserve">3.9.6 Historique et audit des paramètres</w:t>
      </w:r>
    </w:p>
    <w:p>
      <w:pPr>
        <w:pStyle w:val="ListParagraph"/>
        <w:numPr>
          <w:ilvl w:val="0"/>
          <w:numId w:val="2"/>
        </w:numPr>
        <w:spacing w:after="60"/>
      </w:pPr>
      <w:r>
        <w:rPr>
          <w:rFonts w:ascii="Arial" w:cs="Arial" w:eastAsia="Arial" w:hAnsi="Arial"/>
          <w:sz w:val="20"/>
          <w:szCs w:val="20"/>
        </w:rPr>
        <w:t xml:space="preserve">Chaque modification de paramètre est tracée : ancien value, nouvelle valeur, utilisateur, date/heure, motif</w:t>
      </w:r>
    </w:p>
    <w:p>
      <w:pPr>
        <w:pStyle w:val="ListParagraph"/>
        <w:numPr>
          <w:ilvl w:val="0"/>
          <w:numId w:val="2"/>
        </w:numPr>
        <w:spacing w:after="60"/>
      </w:pPr>
      <w:r>
        <w:rPr>
          <w:rFonts w:ascii="Arial" w:cs="Arial" w:eastAsia="Arial" w:hAnsi="Arial"/>
          <w:sz w:val="20"/>
          <w:szCs w:val="20"/>
        </w:rPr>
        <w:t xml:space="preserve">Possibilité de restaurer une valeur précédente</w:t>
      </w:r>
    </w:p>
    <w:p>
      <w:pPr>
        <w:pStyle w:val="ListParagraph"/>
        <w:numPr>
          <w:ilvl w:val="0"/>
          <w:numId w:val="2"/>
        </w:numPr>
        <w:spacing w:after="60"/>
      </w:pPr>
      <w:r>
        <w:rPr>
          <w:rFonts w:ascii="Arial" w:cs="Arial" w:eastAsia="Arial" w:hAnsi="Arial"/>
          <w:sz w:val="20"/>
          <w:szCs w:val="20"/>
        </w:rPr>
        <w:t xml:space="preserve">Export de l'historique des modifications pour audit du conseil syndical (art. 393 CCH)</w:t>
      </w:r>
    </w:p>
    <w:p>
      <w:pPr>
        <w:spacing w:after="200"/>
      </w:pPr>
    </w:p>
    <w:p>
      <w:r>
        <w:br w:type="page"/>
      </w:r>
    </w:p>
    <w:p>
      <w:pPr>
        <w:spacing w:after="120"/>
      </w:pPr>
      <w:r>
        <w:rPr>
          <w:rFonts w:ascii="Arial" w:cs="Arial" w:eastAsia="Arial" w:hAnsi="Arial"/>
          <w:b/>
          <w:bCs/>
          <w:color w:val="1B4F72"/>
          <w:sz w:val="22"/>
          <w:szCs w:val="22"/>
        </w:rPr>
        <w:t xml:space="preserve">3.9.7 Paramétrage de la structure immobilière — Logiciel générique et revendable</w:t>
      </w:r>
    </w:p>
    <w:p>
      <w:pPr>
        <w:spacing w:after="200"/>
      </w:pPr>
    </w:p>
    <w:p>
      <w:pPr>
        <w:spacing w:after="120"/>
      </w:pPr>
      <w:r>
        <w:rPr>
          <w:rFonts w:ascii="Arial" w:cs="Arial" w:eastAsia="Arial" w:hAnsi="Arial"/>
          <w:b/>
          <w:bCs/>
          <w:color w:val="E74C3C"/>
          <w:sz w:val="22"/>
          <w:szCs w:val="22"/>
        </w:rPr>
        <w:t xml:space="preserve">PRINCIPE FONDAMENTAL : GreenSyndic est conçu pour être revendu à d'autres ensembles immobiliers. Green City Bassam / COSMOS Bassam est le premier déploiement, mais le logiciel doit fonctionner sans aucune modification de code pour un ensemble totalement différent (autre pays, autre taille, autre composition). Toutes les données spécifiques au projet actuel (noms, types d'entités, structure, logos) sont des DONNÉES DE PARAMÉTRAGE, pas du code.</w:t>
      </w:r>
    </w:p>
    <w:p>
      <w:pPr>
        <w:spacing w:after="200"/>
      </w:pPr>
    </w:p>
    <w:p>
      <w:pPr>
        <w:spacing w:after="120"/>
      </w:pPr>
      <w:r>
        <w:rPr>
          <w:rFonts w:ascii="Arial" w:cs="Arial" w:eastAsia="Arial" w:hAnsi="Arial"/>
          <w:b/>
          <w:bCs/>
          <w:color w:val="333333"/>
          <w:sz w:val="22"/>
          <w:szCs w:val="22"/>
        </w:rPr>
        <w:t xml:space="preserve">Le déploiement initial de GreenSyndic pour Green City est précâblé avec les données existantes décrites dans ce document. Mais chaque élément est modifiable, supprimable ou duplicable par l'administrateur.</w:t>
      </w:r>
    </w:p>
    <w:p>
      <w:pPr>
        <w:spacing w:after="200"/>
      </w:pPr>
    </w:p>
    <w:p>
      <w:pPr>
        <w:spacing w:after="120"/>
      </w:pPr>
      <w:r>
        <w:rPr>
          <w:rFonts w:ascii="Arial" w:cs="Arial" w:eastAsia="Arial" w:hAnsi="Arial"/>
          <w:b/>
          <w:bCs/>
          <w:color w:val="1B4F72"/>
          <w:sz w:val="22"/>
          <w:szCs w:val="22"/>
        </w:rPr>
        <w:t xml:space="preserve">A) Identité de l'ensemble immobilier</w:t>
      </w:r>
    </w:p>
    <w:p>
      <w:pPr>
        <w:pStyle w:val="ListParagraph"/>
        <w:numPr>
          <w:ilvl w:val="0"/>
          <w:numId w:val="2"/>
        </w:numPr>
        <w:spacing w:after="60"/>
      </w:pPr>
      <w:r>
        <w:rPr>
          <w:rFonts w:ascii="Arial" w:cs="Arial" w:eastAsia="Arial" w:hAnsi="Arial"/>
          <w:sz w:val="20"/>
          <w:szCs w:val="20"/>
        </w:rPr>
        <w:t xml:space="preserve">Nom de l'ensemble : texte libre (précâblé : « Green City Bassam ») — modifiable</w:t>
      </w:r>
    </w:p>
    <w:p>
      <w:pPr>
        <w:pStyle w:val="ListParagraph"/>
        <w:numPr>
          <w:ilvl w:val="0"/>
          <w:numId w:val="2"/>
        </w:numPr>
        <w:spacing w:after="60"/>
      </w:pPr>
      <w:r>
        <w:rPr>
          <w:rFonts w:ascii="Arial" w:cs="Arial" w:eastAsia="Arial" w:hAnsi="Arial"/>
          <w:sz w:val="20"/>
          <w:szCs w:val="20"/>
        </w:rPr>
        <w:t xml:space="preserve">Logo et charte graphique : upload d'images, couleurs primaires/secondaires — appliqués sur toutes les interfaces, courriers et documents</w:t>
      </w:r>
    </w:p>
    <w:p>
      <w:pPr>
        <w:pStyle w:val="ListParagraph"/>
        <w:numPr>
          <w:ilvl w:val="0"/>
          <w:numId w:val="2"/>
        </w:numPr>
        <w:spacing w:after="60"/>
      </w:pPr>
      <w:r>
        <w:rPr>
          <w:rFonts w:ascii="Arial" w:cs="Arial" w:eastAsia="Arial" w:hAnsi="Arial"/>
          <w:sz w:val="20"/>
          <w:szCs w:val="20"/>
        </w:rPr>
        <w:t xml:space="preserve">Nom du promoteur/développeur : texte libre (précâblé : « COFIPRI ») — affiché sur les documents officiels</w:t>
      </w:r>
    </w:p>
    <w:p>
      <w:pPr>
        <w:pStyle w:val="ListParagraph"/>
        <w:numPr>
          <w:ilvl w:val="0"/>
          <w:numId w:val="2"/>
        </w:numPr>
        <w:spacing w:after="60"/>
      </w:pPr>
      <w:r>
        <w:rPr>
          <w:rFonts w:ascii="Arial" w:cs="Arial" w:eastAsia="Arial" w:hAnsi="Arial"/>
          <w:sz w:val="20"/>
          <w:szCs w:val="20"/>
        </w:rPr>
        <w:t xml:space="preserve">Localisation : adresse, ville, pays, coordonnées GPS — utilisés pour la géolocalisation et les cartes</w:t>
      </w:r>
    </w:p>
    <w:p>
      <w:pPr>
        <w:pStyle w:val="ListParagraph"/>
        <w:numPr>
          <w:ilvl w:val="0"/>
          <w:numId w:val="2"/>
        </w:numPr>
        <w:spacing w:after="60"/>
      </w:pPr>
      <w:r>
        <w:rPr>
          <w:rFonts w:ascii="Arial" w:cs="Arial" w:eastAsia="Arial" w:hAnsi="Arial"/>
          <w:sz w:val="20"/>
          <w:szCs w:val="20"/>
        </w:rPr>
        <w:t xml:space="preserve">Informations légales : RCCM, numéro fiscal, coordonnées du syndic agréé, référence arrêté ministériel</w:t>
      </w:r>
    </w:p>
    <w:p>
      <w:pPr>
        <w:pStyle w:val="ListParagraph"/>
        <w:numPr>
          <w:ilvl w:val="0"/>
          <w:numId w:val="2"/>
        </w:numPr>
        <w:spacing w:after="60"/>
      </w:pPr>
      <w:r>
        <w:rPr>
          <w:rFonts w:ascii="Arial" w:cs="Arial" w:eastAsia="Arial" w:hAnsi="Arial"/>
          <w:sz w:val="20"/>
          <w:szCs w:val="20"/>
        </w:rPr>
        <w:t xml:space="preserve">Multi-ensemble : le système peut gérer PLUSIEURS ensembles immobiliers indépendants dans la même instance (multi-tenant)</w:t>
      </w:r>
    </w:p>
    <w:p>
      <w:pPr>
        <w:spacing w:after="200"/>
      </w:pPr>
    </w:p>
    <w:p>
      <w:pPr>
        <w:spacing w:after="120"/>
      </w:pPr>
      <w:r>
        <w:rPr>
          <w:rFonts w:ascii="Arial" w:cs="Arial" w:eastAsia="Arial" w:hAnsi="Arial"/>
          <w:b/>
          <w:bCs/>
          <w:color w:val="1B4F72"/>
          <w:sz w:val="22"/>
          <w:szCs w:val="22"/>
        </w:rPr>
        <w:t xml:space="preserve">B) Types d'entités — Liste dynamique avec bouton [+ Ajouter]</w:t>
      </w:r>
    </w:p>
    <w:p>
      <w:pPr>
        <w:spacing w:after="120"/>
      </w:pPr>
      <w:r>
        <w:rPr>
          <w:rFonts w:ascii="Arial" w:cs="Arial" w:eastAsia="Arial" w:hAnsi="Arial"/>
          <w:b/>
          <w:bCs/>
          <w:color w:val="333333"/>
          <w:sz w:val="22"/>
          <w:szCs w:val="22"/>
        </w:rPr>
        <w:t xml:space="preserve">Chaque type d'entité est un enregistrement dans une table de référence. Il n'y a PAS de types codés en dur. L'administrateur peut créer, modifier, désactiver ou dupliquer des types.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26"/>
        <w:gridCol w:w="28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Paramètre du type</w:t>
            </w:r>
          </w:p>
        </w:tc>
        <w:tc>
          <w:tcPr>
            <w:tcW w:type="dxa" w:w="40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Exemple Green City</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Nom du type</w:t>
            </w:r>
          </w:p>
        </w:tc>
        <w:tc>
          <w:tcPr>
            <w:tcW w:type="dxa" w:w="40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Libellé affiché partout</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Villa duplex, Appartement R+5, Centre commercial, Cinéma...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Catégorie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Résidentiel / Commercial / Services / Loisirs / Infrastructure / Mixte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Villa = Résidentiel, COSMOS = Commercial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Icône</w:t>
            </w:r>
          </w:p>
        </w:tc>
        <w:tc>
          <w:tcPr>
            <w:tcW w:type="dxa" w:w="40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Upload d'icône pour l'affichage dans les listes et plans</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Icône maison, immeuble, panier...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Régime de bail par défaut</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Habitation (CCH) / Commercial (AUDCG) / Convention / Concession / Aucun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Villa = Habitation, Oryx = Concession</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Niveau de copropriété</w:t>
            </w:r>
          </w:p>
        </w:tc>
        <w:tc>
          <w:tcPr>
            <w:tcW w:type="dxa" w:w="40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Horizontale seule / Verticale seule / Les deux / Aucune</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Villa = Horiz. seule, Appt R+5 = Les deux</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Champs spécifiques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de champs métier additionnels (clé/valeur) configurables par type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Cinéma : capacité salles, norme ERP</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Modèle de charges</w:t>
            </w:r>
          </w:p>
        </w:tc>
        <w:tc>
          <w:tcPr>
            <w:tcW w:type="dxa" w:w="40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Postes de charges par défaut attachés à ce type d'entité</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Immeuble : ascenseur, GE, nettoyage...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Actif/Inactif</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Permet de désactiver un type sans le supprimer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
            </w:r>
          </w:p>
        </w:tc>
      </w:tr>
    </w:tbl>
    <w:p>
      <w:pPr>
        <w:spacing w:after="200"/>
      </w:pPr>
    </w:p>
    <w:p>
      <w:pPr>
        <w:spacing w:after="120"/>
      </w:pPr>
      <w:r>
        <w:rPr>
          <w:rFonts w:ascii="Arial" w:cs="Arial" w:eastAsia="Arial" w:hAnsi="Arial"/>
          <w:i/>
          <w:iCs/>
          <w:color w:val="333333"/>
          <w:sz w:val="22"/>
          <w:szCs w:val="22"/>
        </w:rPr>
        <w:t xml:space="preserve">Précâblage Green City : les 15 types identifiés dans ce cahier des charges (villa Minan/Asue/Boya, appartement F3/F4, centre commercial, retail park, cinéma, food-court, station-service, clinique, banque, école, club sportif, club house, STEP) sont créés à l'installation. Mais un autre client pourrait avoir 3 clubs sportifs, 2 supermarchés, un hôtel, des bureaux, une mosquée, etc.</w:t>
      </w:r>
    </w:p>
    <w:p>
      <w:pPr>
        <w:spacing w:after="200"/>
      </w:pPr>
    </w:p>
    <w:p>
      <w:pPr>
        <w:spacing w:after="120"/>
      </w:pPr>
      <w:r>
        <w:rPr>
          <w:rFonts w:ascii="Arial" w:cs="Arial" w:eastAsia="Arial" w:hAnsi="Arial"/>
          <w:b/>
          <w:bCs/>
          <w:color w:val="1B4F72"/>
          <w:sz w:val="22"/>
          <w:szCs w:val="22"/>
        </w:rPr>
        <w:t xml:space="preserve">C) Entités / lots — Listes dynamiques avec bouton [+ Ajouter]</w:t>
      </w:r>
    </w:p>
    <w:p>
      <w:pPr>
        <w:spacing w:after="120"/>
      </w:pPr>
      <w:r>
        <w:rPr>
          <w:rFonts w:ascii="Arial" w:cs="Arial" w:eastAsia="Arial" w:hAnsi="Arial"/>
          <w:color w:val="333333"/>
          <w:sz w:val="22"/>
          <w:szCs w:val="22"/>
        </w:rPr>
        <w:t xml:space="preserve">Chaque entité concrète (un immeuble précis, une boutique précise, un lot précis) est un enregistrement créé par l'utilisateur, PAS par le code.</w:t>
      </w:r>
    </w:p>
    <w:p>
      <w:pPr>
        <w:spacing w:after="200"/>
      </w:pPr>
    </w:p>
    <w:p>
      <w:pPr>
        <w:pStyle w:val="ListParagraph"/>
        <w:numPr>
          <w:ilvl w:val="0"/>
          <w:numId w:val="2"/>
        </w:numPr>
        <w:spacing w:after="60"/>
      </w:pPr>
      <w:r>
        <w:rPr>
          <w:rFonts w:ascii="Arial" w:cs="Arial" w:eastAsia="Arial" w:hAnsi="Arial"/>
          <w:sz w:val="20"/>
          <w:szCs w:val="20"/>
        </w:rPr>
        <w:t xml:space="preserve">Copropriétés : liste avec [+ Ajouter une copropriété] — champs : nom, type (horizontale/verticale), adresse, logo, syndic, date de création</w:t>
      </w:r>
    </w:p>
    <w:p>
      <w:pPr>
        <w:pStyle w:val="ListParagraph"/>
        <w:numPr>
          <w:ilvl w:val="0"/>
          <w:numId w:val="2"/>
        </w:numPr>
        <w:spacing w:after="60"/>
      </w:pPr>
      <w:r>
        <w:rPr>
          <w:rFonts w:ascii="Arial" w:cs="Arial" w:eastAsia="Arial" w:hAnsi="Arial"/>
          <w:sz w:val="20"/>
          <w:szCs w:val="20"/>
        </w:rPr>
        <w:t xml:space="preserve">Bâtiments / Zones : liste avec [+ Ajouter un bâtiment] — champs : nom (ex. Immeuble Acajou), copropriété parente, type d'entité, nombre d'étages, surface, GPS</w:t>
      </w:r>
    </w:p>
    <w:p>
      <w:pPr>
        <w:pStyle w:val="ListParagraph"/>
        <w:numPr>
          <w:ilvl w:val="0"/>
          <w:numId w:val="2"/>
        </w:numPr>
        <w:spacing w:after="60"/>
      </w:pPr>
      <w:r>
        <w:rPr>
          <w:rFonts w:ascii="Arial" w:cs="Arial" w:eastAsia="Arial" w:hAnsi="Arial"/>
          <w:sz w:val="20"/>
          <w:szCs w:val="20"/>
        </w:rPr>
        <w:t xml:space="preserve">Lots : liste avec [+ Ajouter un lot] — champs : numéro, bâtiment parent, type (appt, villa, boutique, kiosque, parking...), surface, tantièmes, étage, orientation</w:t>
      </w:r>
    </w:p>
    <w:p>
      <w:pPr>
        <w:pStyle w:val="ListParagraph"/>
        <w:numPr>
          <w:ilvl w:val="0"/>
          <w:numId w:val="2"/>
        </w:numPr>
        <w:spacing w:after="60"/>
      </w:pPr>
      <w:r>
        <w:rPr>
          <w:rFonts w:ascii="Arial" w:cs="Arial" w:eastAsia="Arial" w:hAnsi="Arial"/>
          <w:sz w:val="20"/>
          <w:szCs w:val="20"/>
        </w:rPr>
        <w:t xml:space="preserve">Enseignes / Locataires commerciaux : liste avec [+ Ajouter une enseigne] — champs : nom (ex. Super U, KIABI), logo, secteur d'activité, contact</w:t>
      </w:r>
    </w:p>
    <w:p>
      <w:pPr>
        <w:pStyle w:val="ListParagraph"/>
        <w:numPr>
          <w:ilvl w:val="0"/>
          <w:numId w:val="2"/>
        </w:numPr>
        <w:spacing w:after="60"/>
      </w:pPr>
      <w:r>
        <w:rPr>
          <w:rFonts w:ascii="Arial" w:cs="Arial" w:eastAsia="Arial" w:hAnsi="Arial"/>
          <w:sz w:val="20"/>
          <w:szCs w:val="20"/>
        </w:rPr>
        <w:t xml:space="preserve">Équipements communs : liste avec [+ Ajouter un équipement] — champs : nom (ex. STEP, groupe électrogène Acajou), type, localisation, contrat d'entretien, fréquence maintenance</w:t>
      </w:r>
    </w:p>
    <w:p>
      <w:pPr>
        <w:pStyle w:val="ListParagraph"/>
        <w:numPr>
          <w:ilvl w:val="0"/>
          <w:numId w:val="2"/>
        </w:numPr>
        <w:spacing w:after="60"/>
      </w:pPr>
      <w:r>
        <w:rPr>
          <w:rFonts w:ascii="Arial" w:cs="Arial" w:eastAsia="Arial" w:hAnsi="Arial"/>
          <w:sz w:val="20"/>
          <w:szCs w:val="20"/>
        </w:rPr>
        <w:t xml:space="preserve">Parkings : liste avec [+ Ajouter un parking] — champs : nom, capacité, places PMR, bornes VE, rattachement (copropriété ou bâtiment)</w:t>
      </w:r>
    </w:p>
    <w:p>
      <w:pPr>
        <w:pStyle w:val="ListParagraph"/>
        <w:numPr>
          <w:ilvl w:val="0"/>
          <w:numId w:val="2"/>
        </w:numPr>
        <w:spacing w:after="60"/>
      </w:pPr>
      <w:r>
        <w:rPr>
          <w:rFonts w:ascii="Arial" w:cs="Arial" w:eastAsia="Arial" w:hAnsi="Arial"/>
          <w:sz w:val="20"/>
          <w:szCs w:val="20"/>
        </w:rPr>
        <w:t xml:space="preserve">Espaces communs : liste avec [+ Ajouter] — champs : nom (ex. Plaine de jeux Nord), surface, type (espaces verts, voiries, éclairage, piscine), copropriété parente</w:t>
      </w:r>
    </w:p>
    <w:p>
      <w:pPr>
        <w:spacing w:after="200"/>
      </w:pPr>
    </w:p>
    <w:p>
      <w:pPr>
        <w:spacing w:after="120"/>
      </w:pPr>
      <w:r>
        <w:rPr>
          <w:rFonts w:ascii="Arial" w:cs="Arial" w:eastAsia="Arial" w:hAnsi="Arial"/>
          <w:i/>
          <w:iCs/>
          <w:color w:val="333333"/>
          <w:sz w:val="22"/>
          <w:szCs w:val="22"/>
        </w:rPr>
        <w:t xml:space="preserve">Précâblage Green City : les 51 villas (lots 08-85), les 10 immeubles (Acajou à Fraké) avec leurs 200 appartements, les lots COSMOS (MS1-MS7, GB1-GB6, MB1-MB5, B1-B21, R1-R4, FC1-FC6, kiosques K1-K14), la station Oryx, la clinique Novamed, etc. sont pré-créés.</w:t>
      </w:r>
    </w:p>
    <w:p>
      <w:pPr>
        <w:spacing w:after="200"/>
      </w:pPr>
    </w:p>
    <w:p>
      <w:pPr>
        <w:spacing w:after="120"/>
      </w:pPr>
      <w:r>
        <w:rPr>
          <w:rFonts w:ascii="Arial" w:cs="Arial" w:eastAsia="Arial" w:hAnsi="Arial"/>
          <w:b/>
          <w:bCs/>
          <w:color w:val="1B4F72"/>
          <w:sz w:val="22"/>
          <w:szCs w:val="22"/>
        </w:rPr>
        <w:t xml:space="preserve">D) Noms et nomenclature — Entièrement libres</w:t>
      </w:r>
    </w:p>
    <w:p>
      <w:pPr>
        <w:pStyle w:val="ListParagraph"/>
        <w:numPr>
          <w:ilvl w:val="0"/>
          <w:numId w:val="2"/>
        </w:numPr>
        <w:spacing w:after="60"/>
      </w:pPr>
      <w:r>
        <w:rPr>
          <w:rFonts w:ascii="Arial" w:cs="Arial" w:eastAsia="Arial" w:hAnsi="Arial"/>
          <w:sz w:val="20"/>
          <w:szCs w:val="20"/>
        </w:rPr>
        <w:t xml:space="preserve">Noms des immeubles : texte libre (précâblé : Acajou, Iroko, Moabi, Limba, Palissandre, Acacia, Sipo, Colatier, Douka, Fraké) — un autre client peut nommer ses bâtiments Bâtiment A, Tour 1, Résidence Soleil, etc.</w:t>
      </w:r>
    </w:p>
    <w:p>
      <w:pPr>
        <w:pStyle w:val="ListParagraph"/>
        <w:numPr>
          <w:ilvl w:val="0"/>
          <w:numId w:val="2"/>
        </w:numPr>
        <w:spacing w:after="60"/>
      </w:pPr>
      <w:r>
        <w:rPr>
          <w:rFonts w:ascii="Arial" w:cs="Arial" w:eastAsia="Arial" w:hAnsi="Arial"/>
          <w:sz w:val="20"/>
          <w:szCs w:val="20"/>
        </w:rPr>
        <w:t xml:space="preserve">Noms des types de villas : texte libre (précâblé : Minan, Asue, Boya) — modifiables</w:t>
      </w:r>
    </w:p>
    <w:p>
      <w:pPr>
        <w:pStyle w:val="ListParagraph"/>
        <w:numPr>
          <w:ilvl w:val="0"/>
          <w:numId w:val="2"/>
        </w:numPr>
        <w:spacing w:after="60"/>
      </w:pPr>
      <w:r>
        <w:rPr>
          <w:rFonts w:ascii="Arial" w:cs="Arial" w:eastAsia="Arial" w:hAnsi="Arial"/>
          <w:sz w:val="20"/>
          <w:szCs w:val="20"/>
        </w:rPr>
        <w:t xml:space="preserve">Noms des zones/quartiers : texte libre (précâblé : Zone R+1, Zone R+5, Quartier Nhood) — modifiables</w:t>
      </w:r>
    </w:p>
    <w:p>
      <w:pPr>
        <w:pStyle w:val="ListParagraph"/>
        <w:numPr>
          <w:ilvl w:val="0"/>
          <w:numId w:val="2"/>
        </w:numPr>
        <w:spacing w:after="60"/>
      </w:pPr>
      <w:r>
        <w:rPr>
          <w:rFonts w:ascii="Arial" w:cs="Arial" w:eastAsia="Arial" w:hAnsi="Arial"/>
          <w:sz w:val="20"/>
          <w:szCs w:val="20"/>
        </w:rPr>
        <w:t xml:space="preserve">Noms des copropriétés : texte libre (précâblé : Copropriété horizontale Green City, Copropriété verticale Acajou, etc.)</w:t>
      </w:r>
    </w:p>
    <w:p>
      <w:pPr>
        <w:pStyle w:val="ListParagraph"/>
        <w:numPr>
          <w:ilvl w:val="0"/>
          <w:numId w:val="2"/>
        </w:numPr>
        <w:spacing w:after="60"/>
      </w:pPr>
      <w:r>
        <w:rPr>
          <w:rFonts w:ascii="Arial" w:cs="Arial" w:eastAsia="Arial" w:hAnsi="Arial"/>
          <w:sz w:val="20"/>
          <w:szCs w:val="20"/>
        </w:rPr>
        <w:t xml:space="preserve">Noms des postes de charges : texte libre (précâblé : Espaces verts M/O, Sécurité gardiennage, STEP, etc.) — un autre client peut avoir des postes complètement différents</w:t>
      </w:r>
    </w:p>
    <w:p>
      <w:pPr>
        <w:pStyle w:val="ListParagraph"/>
        <w:numPr>
          <w:ilvl w:val="0"/>
          <w:numId w:val="2"/>
        </w:numPr>
        <w:spacing w:after="60"/>
      </w:pPr>
      <w:r>
        <w:rPr>
          <w:rFonts w:ascii="Arial" w:cs="Arial" w:eastAsia="Arial" w:hAnsi="Arial"/>
          <w:sz w:val="20"/>
          <w:szCs w:val="20"/>
        </w:rPr>
        <w:t xml:space="preserve">Libellés des types de lots : texte libre avec icône — pas de liste fermée villa/appartement/boutique : l'utilisateur crée ses propres types</w:t>
      </w:r>
    </w:p>
    <w:p>
      <w:pPr>
        <w:spacing w:after="200"/>
      </w:pPr>
    </w:p>
    <w:p>
      <w:pPr>
        <w:spacing w:after="120"/>
      </w:pPr>
      <w:r>
        <w:rPr>
          <w:rFonts w:ascii="Arial" w:cs="Arial" w:eastAsia="Arial" w:hAnsi="Arial"/>
          <w:b/>
          <w:bCs/>
          <w:color w:val="1B4F72"/>
          <w:sz w:val="22"/>
          <w:szCs w:val="22"/>
        </w:rPr>
        <w:t xml:space="preserve">E) Structure multi-niveau — Configurable</w:t>
      </w:r>
    </w:p>
    <w:p>
      <w:pPr>
        <w:pStyle w:val="ListParagraph"/>
        <w:numPr>
          <w:ilvl w:val="0"/>
          <w:numId w:val="2"/>
        </w:numPr>
        <w:spacing w:after="60"/>
      </w:pPr>
      <w:r>
        <w:rPr>
          <w:rFonts w:ascii="Arial" w:cs="Arial" w:eastAsia="Arial" w:hAnsi="Arial"/>
          <w:sz w:val="20"/>
          <w:szCs w:val="20"/>
        </w:rPr>
        <w:t xml:space="preserve">Nombre de niveaux de copropriété : 1 (horizontale seule) ou 2 (horizontale + verticale) ou N (emboîtement libre pour les très grands ensembles)</w:t>
      </w:r>
    </w:p>
    <w:p>
      <w:pPr>
        <w:pStyle w:val="ListParagraph"/>
        <w:numPr>
          <w:ilvl w:val="0"/>
          <w:numId w:val="2"/>
        </w:numPr>
        <w:spacing w:after="60"/>
      </w:pPr>
      <w:r>
        <w:rPr>
          <w:rFonts w:ascii="Arial" w:cs="Arial" w:eastAsia="Arial" w:hAnsi="Arial"/>
          <w:sz w:val="20"/>
          <w:szCs w:val="20"/>
        </w:rPr>
        <w:t xml:space="preserve">Rattachement des lots : chaque lot est rattaché à un bâtiment, chaque bâtiment à une ou plusieurs copropriétés — arborescence configurable</w:t>
      </w:r>
    </w:p>
    <w:p>
      <w:pPr>
        <w:pStyle w:val="ListParagraph"/>
        <w:numPr>
          <w:ilvl w:val="0"/>
          <w:numId w:val="2"/>
        </w:numPr>
        <w:spacing w:after="60"/>
      </w:pPr>
      <w:r>
        <w:rPr>
          <w:rFonts w:ascii="Arial" w:cs="Arial" w:eastAsia="Arial" w:hAnsi="Arial"/>
          <w:sz w:val="20"/>
          <w:szCs w:val="20"/>
        </w:rPr>
        <w:t xml:space="preserve">Clés de répartition des charges : illimitées, nommables librement (précâblé : tantièmes généraux, tantièmes bâtiment, quote-part horizontale)</w:t>
      </w:r>
    </w:p>
    <w:p>
      <w:pPr>
        <w:pStyle w:val="ListParagraph"/>
        <w:numPr>
          <w:ilvl w:val="0"/>
          <w:numId w:val="2"/>
        </w:numPr>
        <w:spacing w:after="60"/>
      </w:pPr>
      <w:r>
        <w:rPr>
          <w:rFonts w:ascii="Arial" w:cs="Arial" w:eastAsia="Arial" w:hAnsi="Arial"/>
          <w:sz w:val="20"/>
          <w:szCs w:val="20"/>
        </w:rPr>
        <w:t xml:space="preserve">Consolidation multi-copropriété : le système produit des états financiers consolidés ou par copropriété, au choix</w:t>
      </w:r>
    </w:p>
    <w:p>
      <w:pPr>
        <w:spacing w:after="200"/>
      </w:pPr>
    </w:p>
    <w:p>
      <w:pPr>
        <w:spacing w:after="120"/>
      </w:pPr>
      <w:r>
        <w:rPr>
          <w:rFonts w:ascii="Arial" w:cs="Arial" w:eastAsia="Arial" w:hAnsi="Arial"/>
          <w:b/>
          <w:bCs/>
          <w:color w:val="1B4F72"/>
          <w:sz w:val="22"/>
          <w:szCs w:val="22"/>
        </w:rPr>
        <w:t xml:space="preserve">F) Règles métier configurables</w:t>
      </w:r>
    </w:p>
    <w:p>
      <w:pPr>
        <w:pStyle w:val="ListParagraph"/>
        <w:numPr>
          <w:ilvl w:val="0"/>
          <w:numId w:val="2"/>
        </w:numPr>
        <w:spacing w:after="60"/>
      </w:pPr>
      <w:r>
        <w:rPr>
          <w:rFonts w:ascii="Arial" w:cs="Arial" w:eastAsia="Arial" w:hAnsi="Arial"/>
          <w:sz w:val="20"/>
          <w:szCs w:val="20"/>
        </w:rPr>
        <w:t xml:space="preserve">Règlement de copropriété : upload du document PDF + extraction des règles clés en paramètres (ex : interdiction sous-location, restrictions d'usage)</w:t>
      </w:r>
    </w:p>
    <w:p>
      <w:pPr>
        <w:pStyle w:val="ListParagraph"/>
        <w:numPr>
          <w:ilvl w:val="0"/>
          <w:numId w:val="2"/>
        </w:numPr>
        <w:spacing w:after="60"/>
      </w:pPr>
      <w:r>
        <w:rPr>
          <w:rFonts w:ascii="Arial" w:cs="Arial" w:eastAsia="Arial" w:hAnsi="Arial"/>
          <w:sz w:val="20"/>
          <w:szCs w:val="20"/>
        </w:rPr>
        <w:t xml:space="preserve">Règlement Particulier d'Urbanisme (RPU) : upload + paramètres associés (hauteur max, matériaux autorisés, clôtures)</w:t>
      </w:r>
    </w:p>
    <w:p>
      <w:pPr>
        <w:pStyle w:val="ListParagraph"/>
        <w:numPr>
          <w:ilvl w:val="0"/>
          <w:numId w:val="2"/>
        </w:numPr>
        <w:spacing w:after="60"/>
      </w:pPr>
      <w:r>
        <w:rPr>
          <w:rFonts w:ascii="Arial" w:cs="Arial" w:eastAsia="Arial" w:hAnsi="Arial"/>
          <w:sz w:val="20"/>
          <w:szCs w:val="20"/>
        </w:rPr>
        <w:t xml:space="preserve">Code de bon voisinage : upload + paramètres (horaires de bruit, animaux, etc.)</w:t>
      </w:r>
    </w:p>
    <w:p>
      <w:pPr>
        <w:pStyle w:val="ListParagraph"/>
        <w:numPr>
          <w:ilvl w:val="0"/>
          <w:numId w:val="2"/>
        </w:numPr>
        <w:spacing w:after="60"/>
      </w:pPr>
      <w:r>
        <w:rPr>
          <w:rFonts w:ascii="Arial" w:cs="Arial" w:eastAsia="Arial" w:hAnsi="Arial"/>
          <w:sz w:val="20"/>
          <w:szCs w:val="20"/>
        </w:rPr>
        <w:t xml:space="preserve">Ces documents sont annexés aux contrats de vente dans le système (comme chez COFIPRI)</w:t>
      </w:r>
    </w:p>
    <w:p>
      <w:pPr>
        <w:spacing w:after="200"/>
      </w:pPr>
    </w:p>
    <w:p>
      <w:pPr>
        <w:spacing w:after="120"/>
      </w:pPr>
      <w:r>
        <w:rPr>
          <w:rFonts w:ascii="Arial" w:cs="Arial" w:eastAsia="Arial" w:hAnsi="Arial"/>
          <w:b/>
          <w:bCs/>
          <w:color w:val="1B4F72"/>
          <w:sz w:val="22"/>
          <w:szCs w:val="22"/>
        </w:rPr>
        <w:t xml:space="preserve">G) Pays et cadre juridique — Configurable</w:t>
      </w:r>
    </w:p>
    <w:p>
      <w:pPr>
        <w:pStyle w:val="ListParagraph"/>
        <w:numPr>
          <w:ilvl w:val="0"/>
          <w:numId w:val="2"/>
        </w:numPr>
        <w:spacing w:after="60"/>
      </w:pPr>
      <w:r>
        <w:rPr>
          <w:rFonts w:ascii="Arial" w:cs="Arial" w:eastAsia="Arial" w:hAnsi="Arial"/>
          <w:sz w:val="20"/>
          <w:szCs w:val="20"/>
        </w:rPr>
        <w:t xml:space="preserve">Pays d'exploitation : sélection dans une liste (précâblé : Côte d'Ivoire) — impacte les textes de loi référencés, la devise, les formats de date</w:t>
      </w:r>
    </w:p>
    <w:p>
      <w:pPr>
        <w:pStyle w:val="ListParagraph"/>
        <w:numPr>
          <w:ilvl w:val="0"/>
          <w:numId w:val="2"/>
        </w:numPr>
        <w:spacing w:after="60"/>
      </w:pPr>
      <w:r>
        <w:rPr>
          <w:rFonts w:ascii="Arial" w:cs="Arial" w:eastAsia="Arial" w:hAnsi="Arial"/>
          <w:sz w:val="20"/>
          <w:szCs w:val="20"/>
        </w:rPr>
        <w:t xml:space="preserve">Cadre juridique copropriété : référence du texte applicable (précâblé : Loi 2019-576 CCH, art. 385-397)</w:t>
      </w:r>
    </w:p>
    <w:p>
      <w:pPr>
        <w:pStyle w:val="ListParagraph"/>
        <w:numPr>
          <w:ilvl w:val="0"/>
          <w:numId w:val="2"/>
        </w:numPr>
        <w:spacing w:after="60"/>
      </w:pPr>
      <w:r>
        <w:rPr>
          <w:rFonts w:ascii="Arial" w:cs="Arial" w:eastAsia="Arial" w:hAnsi="Arial"/>
          <w:sz w:val="20"/>
          <w:szCs w:val="20"/>
        </w:rPr>
        <w:t xml:space="preserve">Cadre juridique bail habitation : référence (précâblé : CCH art. 414-450)</w:t>
      </w:r>
    </w:p>
    <w:p>
      <w:pPr>
        <w:pStyle w:val="ListParagraph"/>
        <w:numPr>
          <w:ilvl w:val="0"/>
          <w:numId w:val="2"/>
        </w:numPr>
        <w:spacing w:after="60"/>
      </w:pPr>
      <w:r>
        <w:rPr>
          <w:rFonts w:ascii="Arial" w:cs="Arial" w:eastAsia="Arial" w:hAnsi="Arial"/>
          <w:sz w:val="20"/>
          <w:szCs w:val="20"/>
        </w:rPr>
        <w:t xml:space="preserve">Cadre juridique bail commercial : référence (précâblé : AUDCG OHADA art. 101-134 + Loi 80-1069)</w:t>
      </w:r>
    </w:p>
    <w:p>
      <w:pPr>
        <w:pStyle w:val="ListParagraph"/>
        <w:numPr>
          <w:ilvl w:val="0"/>
          <w:numId w:val="2"/>
        </w:numPr>
        <w:spacing w:after="60"/>
      </w:pPr>
      <w:r>
        <w:rPr>
          <w:rFonts w:ascii="Arial" w:cs="Arial" w:eastAsia="Arial" w:hAnsi="Arial"/>
          <w:sz w:val="20"/>
          <w:szCs w:val="20"/>
        </w:rPr>
        <w:t xml:space="preserve">Cadre protection données : référence (précâblé : Loi 2013-450 ARTCI)</w:t>
      </w:r>
    </w:p>
    <w:p>
      <w:pPr>
        <w:pStyle w:val="ListParagraph"/>
        <w:numPr>
          <w:ilvl w:val="0"/>
          <w:numId w:val="2"/>
        </w:numPr>
        <w:spacing w:after="60"/>
      </w:pPr>
      <w:r>
        <w:rPr>
          <w:rFonts w:ascii="Arial" w:cs="Arial" w:eastAsia="Arial" w:hAnsi="Arial"/>
          <w:sz w:val="20"/>
          <w:szCs w:val="20"/>
        </w:rPr>
        <w:t xml:space="preserve">Devise : sélection (précâblé : FCFA XOF) — le système s'adapte aux formats de montants et aux décimales</w:t>
      </w:r>
    </w:p>
    <w:p>
      <w:pPr>
        <w:pStyle w:val="ListParagraph"/>
        <w:numPr>
          <w:ilvl w:val="0"/>
          <w:numId w:val="2"/>
        </w:numPr>
        <w:spacing w:after="60"/>
      </w:pPr>
      <w:r>
        <w:rPr>
          <w:rFonts w:ascii="Arial" w:cs="Arial" w:eastAsia="Arial" w:hAnsi="Arial"/>
          <w:sz w:val="20"/>
          <w:szCs w:val="20"/>
        </w:rPr>
        <w:t xml:space="preserve">Moyens de paiement disponibles : liste configurable (précâblé : Orange Money, MTN, Wave, virement BCEAO, CinetPay)</w:t>
      </w:r>
    </w:p>
    <w:p>
      <w:pPr>
        <w:pStyle w:val="ListParagraph"/>
        <w:numPr>
          <w:ilvl w:val="0"/>
          <w:numId w:val="2"/>
        </w:numPr>
        <w:spacing w:after="60"/>
      </w:pPr>
      <w:r>
        <w:rPr>
          <w:rFonts w:ascii="Arial" w:cs="Arial" w:eastAsia="Arial" w:hAnsi="Arial"/>
          <w:sz w:val="20"/>
          <w:szCs w:val="20"/>
        </w:rPr>
        <w:t xml:space="preserve">Compatibilité : GreenSyndic est utilisable en l'état dans tout pays OHADA/UEMOA (Sénégal, Mali, Burkina, Togo, Bénin, Niger, Guinée-Bissau) avec ajustement des paramètres pays</w:t>
      </w:r>
    </w:p>
    <w:p>
      <w:pPr>
        <w:spacing w:after="200"/>
      </w:pPr>
    </w:p>
    <w:p>
      <w:r>
        <w:br w:type="page"/>
      </w:r>
    </w:p>
    <w:p>
      <w:pPr>
        <w:pStyle w:val="Heading2"/>
      </w:pPr>
      <w:r>
        <w:t xml:space="preserve">3.10 Gestion des utilisateurs, rôles et droits</w:t>
      </w:r>
    </w:p>
    <w:p>
      <w:pPr>
        <w:spacing w:after="120"/>
      </w:pPr>
      <w:r>
        <w:rPr>
          <w:rFonts w:ascii="Arial" w:cs="Arial" w:eastAsia="Arial" w:hAnsi="Arial"/>
          <w:b/>
          <w:bCs/>
          <w:color w:val="333333"/>
          <w:sz w:val="22"/>
          <w:szCs w:val="22"/>
        </w:rPr>
        <w:t xml:space="preserve">GreenSyndic intègre une gestion complète des utilisateurs avec un annuaire centralisé, un organigramme fonctionnel, des rôles paramétrables et une matrice de droits granulaire. L'administrateur système peut créer, modifier et désactiver tout profil sans intervention technique.</w:t>
      </w:r>
    </w:p>
    <w:p>
      <w:pPr>
        <w:spacing w:after="200"/>
      </w:pPr>
    </w:p>
    <w:p>
      <w:pPr>
        <w:spacing w:after="120"/>
      </w:pPr>
      <w:r>
        <w:rPr>
          <w:rFonts w:ascii="Arial" w:cs="Arial" w:eastAsia="Arial" w:hAnsi="Arial"/>
          <w:b/>
          <w:bCs/>
          <w:color w:val="1B4F72"/>
          <w:sz w:val="22"/>
          <w:szCs w:val="22"/>
        </w:rPr>
        <w:t xml:space="preserve">3.10.1 Organigramme fonctionnel des utilisateurs</w:t>
      </w:r>
    </w:p>
    <w:p>
      <w:pPr>
        <w:spacing w:after="120"/>
      </w:pPr>
      <w:r>
        <w:rPr>
          <w:rFonts w:ascii="Arial" w:cs="Arial" w:eastAsia="Arial" w:hAnsi="Arial"/>
          <w:color w:val="333333"/>
          <w:sz w:val="22"/>
          <w:szCs w:val="22"/>
        </w:rPr>
        <w:t xml:space="preserve">Le tableau ci-dessous présente les 19 profils utilisateurs précâblés, organisés par application et niveau d'accès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526"/>
        <w:gridCol w:w="170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Application</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Profil</w:t>
            </w:r>
          </w:p>
        </w:tc>
        <w:tc>
          <w:tcPr>
            <w:tcW w:type="dxa" w:w="3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c>
          <w:tcPr>
            <w:tcW w:type="dxa" w:w="17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Accès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Administrateur système</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Super-admin : paramétrage global, gestion rôles/droits, config multi-tenant, supervision technique</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Tout — sans restriction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Directeur syndic / DAF</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Pilotage stratégique : dashboards consolidés, validation budgets, supervision comptable, reporting direction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Lecture tous modules + validation</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Gestionnaire copropriété</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 opérationnelle de copropriétés attribuées : lots, AG, communication, travaux, incidents</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 sur ses copropriétés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Comptable syndic</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Comptabilité complète : écritures, rapprochement, appels de fonds, clôture, annexes, relances impayés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Module comptabilité complet</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Gestionnaire locatif</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Baux résidentiels : quittancement, révisions, régularisation, candidatures, états des lieux</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Module gestion locative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Gestionnaire commercial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Baux commerciaux COSMOS : enseignes, révisions OHADA, charges retail, food-court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Module baux commerciaux</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Responsable technique</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Travaux, incidents, VTI, maintenance, prestataires, conformité équipements</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Module travaux + incidents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Assistante administrative</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Saisie courante, courrier, accueil, prise de RDV, mise à jour dossiers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Saisie limitée + lecture</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Desktop</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Auditeur / Commissaire comptes</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contrôle conseil syndical (art. 393 CCH)</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Lecture seule — compta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Mobile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Gestionnaire terrain</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VTI, incidents, scan factures, validation rapide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Actions terrain + KPI</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Syndic Mobile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Technicien maintenance</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Réception OS, photos intervention, clôture</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Ses interventions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PWA Propriétaire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Copropriétaire occupant</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Comptes, paiement charges, vote AG, incidents, documents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Ses données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PWA Propriétaire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Copropriétaire bailleur</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 CRG, suivi loyers, documents locatifs, rendement</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Ses données + locataires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PWA Propriétaire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Membre conseil syndical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 grand livre, balances, budgets, PV complets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 étendue copro</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PWA Propriétaire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Président conseil syndical</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 convocation réunions CS, validation dépenses &gt; seuil</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Consultation + validation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PWA Locataire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Locataire résidentiel</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Quittances, paiement loyer, incidents, bail, messagerie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Ses données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PWA Locataire</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Locataire commercial</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 échéancier indexé, charges commerciales spécifiques</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Ses données + charges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Portail web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Prestataire / Fournisseur</w:t>
            </w:r>
          </w:p>
        </w:tc>
        <w:tc>
          <w:tcPr>
            <w:tcW w:type="dxa" w:w="3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Réception OS, soumission devis, suivi paiements, conformité</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Ses interventions</w:t>
            </w:r>
          </w:p>
        </w:tc>
      </w:tr>
      <w:tr>
        <w:tc>
          <w:tcPr>
            <w:tcW w:type="dxa" w:w="1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Portail web</w:t>
            </w:r>
          </w:p>
        </w:tc>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Agent immobilier externe</w:t>
            </w:r>
          </w:p>
        </w:tc>
        <w:tc>
          <w:tcPr>
            <w:tcW w:type="dxa" w:w="3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Lots disponibles, candidatures locataires, suivi mandats</w:t>
            </w:r>
          </w:p>
        </w:tc>
        <w:tc>
          <w:tcPr>
            <w:tcW w:type="dxa" w:w="17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Lots en commercialisation</w:t>
            </w:r>
          </w:p>
        </w:tc>
      </w:tr>
    </w:tbl>
    <w:p>
      <w:pPr>
        <w:spacing w:after="200"/>
      </w:pPr>
    </w:p>
    <w:p>
      <w:pPr>
        <w:spacing w:after="120"/>
      </w:pPr>
      <w:r>
        <w:rPr>
          <w:rFonts w:ascii="Arial" w:cs="Arial" w:eastAsia="Arial" w:hAnsi="Arial"/>
          <w:b/>
          <w:bCs/>
          <w:color w:val="1B4F72"/>
          <w:sz w:val="22"/>
          <w:szCs w:val="22"/>
        </w:rPr>
        <w:t xml:space="preserve">3.10.2 Gestion des rôles — Liste dynamique [+ Ajouter un rôle]</w:t>
      </w:r>
    </w:p>
    <w:p>
      <w:pPr>
        <w:spacing w:after="120"/>
      </w:pPr>
      <w:r>
        <w:rPr>
          <w:rFonts w:ascii="Arial" w:cs="Arial" w:eastAsia="Arial" w:hAnsi="Arial"/>
          <w:color w:val="333333"/>
          <w:sz w:val="22"/>
          <w:szCs w:val="22"/>
        </w:rPr>
        <w:t xml:space="preserve">Les 19 profils ci-dessus sont précâblés pour Green City. Le système permet de créer des rôles supplémentaires ou de modifier les existants. Un rôle = un regroupement nommé de droits.</w:t>
      </w:r>
    </w:p>
    <w:p>
      <w:pPr>
        <w:spacing w:after="200"/>
      </w:pPr>
    </w:p>
    <w:p>
      <w:pPr>
        <w:pStyle w:val="ListParagraph"/>
        <w:numPr>
          <w:ilvl w:val="0"/>
          <w:numId w:val="2"/>
        </w:numPr>
        <w:spacing w:after="60"/>
      </w:pPr>
      <w:r>
        <w:rPr>
          <w:rFonts w:ascii="Arial" w:cs="Arial" w:eastAsia="Arial" w:hAnsi="Arial"/>
          <w:sz w:val="20"/>
          <w:szCs w:val="20"/>
        </w:rPr>
        <w:t xml:space="preserve">Définition d'un rôle : nom (texte libre), description, application(s) cible(s), liste de droits cochés</w:t>
      </w:r>
    </w:p>
    <w:p>
      <w:pPr>
        <w:pStyle w:val="ListParagraph"/>
        <w:numPr>
          <w:ilvl w:val="0"/>
          <w:numId w:val="2"/>
        </w:numPr>
        <w:spacing w:after="60"/>
      </w:pPr>
      <w:r>
        <w:rPr>
          <w:rFonts w:ascii="Arial" w:cs="Arial" w:eastAsia="Arial" w:hAnsi="Arial"/>
          <w:sz w:val="20"/>
          <w:szCs w:val="20"/>
        </w:rPr>
        <w:t xml:space="preserve">Cumul de rôles : un utilisateur peut avoir plusieurs rôles (ex : gestionnaire copropriété + gestionnaire locatif)</w:t>
      </w:r>
    </w:p>
    <w:p>
      <w:pPr>
        <w:pStyle w:val="ListParagraph"/>
        <w:numPr>
          <w:ilvl w:val="0"/>
          <w:numId w:val="2"/>
        </w:numPr>
        <w:spacing w:after="60"/>
      </w:pPr>
      <w:r>
        <w:rPr>
          <w:rFonts w:ascii="Arial" w:cs="Arial" w:eastAsia="Arial" w:hAnsi="Arial"/>
          <w:sz w:val="20"/>
          <w:szCs w:val="20"/>
        </w:rPr>
        <w:t xml:space="preserve">Héritage de rôles : un rôle hérite d'un autre (ex : Président CS hérite de Membre CS + droits validation)</w:t>
      </w:r>
    </w:p>
    <w:p>
      <w:pPr>
        <w:pStyle w:val="ListParagraph"/>
        <w:numPr>
          <w:ilvl w:val="0"/>
          <w:numId w:val="2"/>
        </w:numPr>
        <w:spacing w:after="60"/>
      </w:pPr>
      <w:r>
        <w:rPr>
          <w:rFonts w:ascii="Arial" w:cs="Arial" w:eastAsia="Arial" w:hAnsi="Arial"/>
          <w:sz w:val="20"/>
          <w:szCs w:val="20"/>
        </w:rPr>
        <w:t xml:space="preserve">Rôle système protégé : Administrateur système — non modifiable, non supprimable</w:t>
      </w:r>
    </w:p>
    <w:p>
      <w:pPr>
        <w:pStyle w:val="ListParagraph"/>
        <w:numPr>
          <w:ilvl w:val="0"/>
          <w:numId w:val="2"/>
        </w:numPr>
        <w:spacing w:after="60"/>
      </w:pPr>
      <w:r>
        <w:rPr>
          <w:rFonts w:ascii="Arial" w:cs="Arial" w:eastAsia="Arial" w:hAnsi="Arial"/>
          <w:sz w:val="20"/>
          <w:szCs w:val="20"/>
        </w:rPr>
        <w:t xml:space="preserve">Rôles personnalisés : créables librement (ex : Stagiaire = lecture seule sur 2 modules)</w:t>
      </w:r>
    </w:p>
    <w:p>
      <w:pPr>
        <w:pStyle w:val="ListParagraph"/>
        <w:numPr>
          <w:ilvl w:val="0"/>
          <w:numId w:val="2"/>
        </w:numPr>
        <w:spacing w:after="60"/>
      </w:pPr>
      <w:r>
        <w:rPr>
          <w:rFonts w:ascii="Arial" w:cs="Arial" w:eastAsia="Arial" w:hAnsi="Arial"/>
          <w:sz w:val="20"/>
          <w:szCs w:val="20"/>
        </w:rPr>
        <w:t xml:space="preserve">Duplication : créer un nouveau rôle en copiant un existant puis ajustant les droits</w:t>
      </w:r>
    </w:p>
    <w:p>
      <w:pPr>
        <w:pStyle w:val="ListParagraph"/>
        <w:numPr>
          <w:ilvl w:val="0"/>
          <w:numId w:val="2"/>
        </w:numPr>
        <w:spacing w:after="60"/>
      </w:pPr>
      <w:r>
        <w:rPr>
          <w:rFonts w:ascii="Arial" w:cs="Arial" w:eastAsia="Arial" w:hAnsi="Arial"/>
          <w:sz w:val="20"/>
          <w:szCs w:val="20"/>
        </w:rPr>
        <w:t xml:space="preserve">Activation/désactivation : un rôle désactivé retire les droits à tous les utilisateurs affectés</w:t>
      </w:r>
    </w:p>
    <w:p>
      <w:pPr>
        <w:spacing w:after="200"/>
      </w:pPr>
    </w:p>
    <w:p>
      <w:pPr>
        <w:spacing w:after="120"/>
      </w:pPr>
      <w:r>
        <w:rPr>
          <w:rFonts w:ascii="Arial" w:cs="Arial" w:eastAsia="Arial" w:hAnsi="Arial"/>
          <w:b/>
          <w:bCs/>
          <w:color w:val="1B4F72"/>
          <w:sz w:val="22"/>
          <w:szCs w:val="22"/>
        </w:rPr>
        <w:t xml:space="preserve">3.10.3 Matrice de droits granulaire</w:t>
      </w:r>
    </w:p>
    <w:p>
      <w:pPr>
        <w:spacing w:after="120"/>
      </w:pPr>
      <w:r>
        <w:rPr>
          <w:rFonts w:ascii="Arial" w:cs="Arial" w:eastAsia="Arial" w:hAnsi="Arial"/>
          <w:color w:val="333333"/>
          <w:sz w:val="22"/>
          <w:szCs w:val="22"/>
        </w:rPr>
        <w:t xml:space="preserve">Chaque droit = un couple (module, action). L'administrateur coche les droits pour chaque rôle dans une matrice visuelle.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65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Actions disponibles (cocher par rôle)</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Lots / Patrimoine</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Créer | Modifier | Supprimer | Exporter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Comptabilité</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Saisir | Rapprocher | Clôturer | Annexes | Export FEC</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Appels de fonds</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Générer | Envoyer | Modifier montant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Impayés / Relances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Relancer | Mise en demeure | Contentieux</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Assemblées Générales</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Préparer | Convoquer | Animer | Voter | PV</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 locative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Créer bail | Quittancer | Réviser | Régulariser | Candidatures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Baux commerciaux</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Créer | Réviser OHADA | Renouveler | Résilier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Travaux / Incidents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Créer OS | Valider devis | Clôturer | Budget</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VTI</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Lancer | Saisir observations | Photos | Générer rapport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Communication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Email | SMS | Publipostage | Push</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GED / Documents</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Uploader | Classer | Supprimer | Télécharger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Reporting / KPI</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Exporter | Configurer indicateurs</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Paramétrage</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Modifier taux | Modifier structure | Gérer rôles | Gérer utilisateurs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Veille juridique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Configurer sources | Marquer traité</w:t>
            </w:r>
          </w:p>
        </w:tc>
      </w:tr>
      <w:tr>
        <w:tc>
          <w:tcPr>
            <w:tcW w:type="dxa" w:w="2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Paiements</w:t>
            </w:r>
          </w:p>
        </w:tc>
        <w:tc>
          <w:tcPr>
            <w:tcW w:type="dxa" w:w="65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Consulter | Initier | Valider remboursement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Vote AG à distance</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Voter | Donner pouvoir | Consulter résultats</w:t>
            </w:r>
          </w:p>
        </w:tc>
      </w:tr>
    </w:tbl>
    <w:p>
      <w:pPr>
        <w:spacing w:after="200"/>
      </w:pPr>
    </w:p>
    <w:p>
      <w:pPr>
        <w:spacing w:after="120"/>
      </w:pPr>
      <w:r>
        <w:rPr>
          <w:rFonts w:ascii="Arial" w:cs="Arial" w:eastAsia="Arial" w:hAnsi="Arial"/>
          <w:b/>
          <w:bCs/>
          <w:color w:val="1B4F72"/>
          <w:sz w:val="22"/>
          <w:szCs w:val="22"/>
        </w:rPr>
        <w:t xml:space="preserve">3.10.4 Périmètre de données par utilisateur</w:t>
      </w:r>
    </w:p>
    <w:p>
      <w:pPr>
        <w:spacing w:after="120"/>
      </w:pPr>
      <w:r>
        <w:rPr>
          <w:rFonts w:ascii="Arial" w:cs="Arial" w:eastAsia="Arial" w:hAnsi="Arial"/>
          <w:color w:val="333333"/>
          <w:sz w:val="22"/>
          <w:szCs w:val="22"/>
        </w:rPr>
        <w:t xml:space="preserve">Au-delà des droits fonctionnels, chaque utilisateur a un PÉRIMÈTRE de données limité :</w:t>
      </w:r>
    </w:p>
    <w:p>
      <w:pPr>
        <w:spacing w:after="200"/>
      </w:pPr>
    </w:p>
    <w:p>
      <w:pPr>
        <w:pStyle w:val="ListParagraph"/>
        <w:numPr>
          <w:ilvl w:val="0"/>
          <w:numId w:val="2"/>
        </w:numPr>
        <w:spacing w:after="60"/>
      </w:pPr>
      <w:r>
        <w:rPr>
          <w:rFonts w:ascii="Arial" w:cs="Arial" w:eastAsia="Arial" w:hAnsi="Arial"/>
          <w:sz w:val="20"/>
          <w:szCs w:val="20"/>
        </w:rPr>
        <w:t xml:space="preserve">Gestionnaire copro : accès uniquement aux copropriétés attribuées (ex : Gestionnaire A = Acajou + Iroko + copro horiz.)</w:t>
      </w:r>
    </w:p>
    <w:p>
      <w:pPr>
        <w:pStyle w:val="ListParagraph"/>
        <w:numPr>
          <w:ilvl w:val="0"/>
          <w:numId w:val="2"/>
        </w:numPr>
        <w:spacing w:after="60"/>
      </w:pPr>
      <w:r>
        <w:rPr>
          <w:rFonts w:ascii="Arial" w:cs="Arial" w:eastAsia="Arial" w:hAnsi="Arial"/>
          <w:sz w:val="20"/>
          <w:szCs w:val="20"/>
        </w:rPr>
        <w:t xml:space="preserve">Comptable : toutes les copropriétés ou seulement celles attribuées (configurable)</w:t>
      </w:r>
    </w:p>
    <w:p>
      <w:pPr>
        <w:pStyle w:val="ListParagraph"/>
        <w:numPr>
          <w:ilvl w:val="0"/>
          <w:numId w:val="2"/>
        </w:numPr>
        <w:spacing w:after="60"/>
      </w:pPr>
      <w:r>
        <w:rPr>
          <w:rFonts w:ascii="Arial" w:cs="Arial" w:eastAsia="Arial" w:hAnsi="Arial"/>
          <w:sz w:val="20"/>
          <w:szCs w:val="20"/>
        </w:rPr>
        <w:t xml:space="preserve">Gestionnaire commercial : entités commerciales COSMOS uniquement</w:t>
      </w:r>
    </w:p>
    <w:p>
      <w:pPr>
        <w:pStyle w:val="ListParagraph"/>
        <w:numPr>
          <w:ilvl w:val="0"/>
          <w:numId w:val="2"/>
        </w:numPr>
        <w:spacing w:after="60"/>
      </w:pPr>
      <w:r>
        <w:rPr>
          <w:rFonts w:ascii="Arial" w:cs="Arial" w:eastAsia="Arial" w:hAnsi="Arial"/>
          <w:sz w:val="20"/>
          <w:szCs w:val="20"/>
        </w:rPr>
        <w:t xml:space="preserve">Copropriétaire / Locataire : strictement ses propres données (lot, compte, bail, documents)</w:t>
      </w:r>
    </w:p>
    <w:p>
      <w:pPr>
        <w:pStyle w:val="ListParagraph"/>
        <w:numPr>
          <w:ilvl w:val="0"/>
          <w:numId w:val="2"/>
        </w:numPr>
        <w:spacing w:after="60"/>
      </w:pPr>
      <w:r>
        <w:rPr>
          <w:rFonts w:ascii="Arial" w:cs="Arial" w:eastAsia="Arial" w:hAnsi="Arial"/>
          <w:sz w:val="20"/>
          <w:szCs w:val="20"/>
        </w:rPr>
        <w:t xml:space="preserve">Membre CS : comptabilité étendue de SA copropriété uniquement</w:t>
      </w:r>
    </w:p>
    <w:p>
      <w:pPr>
        <w:pStyle w:val="ListParagraph"/>
        <w:numPr>
          <w:ilvl w:val="0"/>
          <w:numId w:val="2"/>
        </w:numPr>
        <w:spacing w:after="60"/>
      </w:pPr>
      <w:r>
        <w:rPr>
          <w:rFonts w:ascii="Arial" w:cs="Arial" w:eastAsia="Arial" w:hAnsi="Arial"/>
          <w:sz w:val="20"/>
          <w:szCs w:val="20"/>
        </w:rPr>
        <w:t xml:space="preserve">Prestataire : ses ordres de service et factures uniquement</w:t>
      </w:r>
    </w:p>
    <w:p>
      <w:pPr>
        <w:pStyle w:val="ListParagraph"/>
        <w:numPr>
          <w:ilvl w:val="0"/>
          <w:numId w:val="2"/>
        </w:numPr>
        <w:spacing w:after="60"/>
      </w:pPr>
      <w:r>
        <w:rPr>
          <w:rFonts w:ascii="Arial" w:cs="Arial" w:eastAsia="Arial" w:hAnsi="Arial"/>
          <w:sz w:val="20"/>
          <w:szCs w:val="20"/>
        </w:rPr>
        <w:t xml:space="preserve">L'administrateur configure le périmètre lors de la création de l'utilisateur</w:t>
      </w:r>
    </w:p>
    <w:p>
      <w:pPr>
        <w:spacing w:after="200"/>
      </w:pPr>
    </w:p>
    <w:p>
      <w:pPr>
        <w:spacing w:after="120"/>
      </w:pPr>
      <w:r>
        <w:rPr>
          <w:rFonts w:ascii="Arial" w:cs="Arial" w:eastAsia="Arial" w:hAnsi="Arial"/>
          <w:b/>
          <w:bCs/>
          <w:color w:val="1B4F72"/>
          <w:sz w:val="22"/>
          <w:szCs w:val="22"/>
        </w:rPr>
        <w:t xml:space="preserve">3.10.5 Annuaire centralisé des utilisateurs</w:t>
      </w:r>
    </w:p>
    <w:p>
      <w:pPr>
        <w:spacing w:after="120"/>
      </w:pPr>
      <w:r>
        <w:rPr>
          <w:rFonts w:ascii="Arial" w:cs="Arial" w:eastAsia="Arial" w:hAnsi="Arial"/>
          <w:color w:val="333333"/>
          <w:sz w:val="22"/>
          <w:szCs w:val="22"/>
        </w:rPr>
        <w:t xml:space="preserve">Annuaire unique de tous les utilisateurs, consultable et filtrable (niveaux de visibilité différents selon le rôle).</w:t>
      </w:r>
    </w:p>
    <w:p>
      <w:pPr>
        <w:spacing w:after="200"/>
      </w:pPr>
    </w:p>
    <w:p>
      <w:pPr>
        <w:pStyle w:val="ListParagraph"/>
        <w:numPr>
          <w:ilvl w:val="0"/>
          <w:numId w:val="2"/>
        </w:numPr>
        <w:spacing w:after="60"/>
      </w:pPr>
      <w:r>
        <w:rPr>
          <w:rFonts w:ascii="Arial" w:cs="Arial" w:eastAsia="Arial" w:hAnsi="Arial"/>
          <w:sz w:val="20"/>
          <w:szCs w:val="20"/>
        </w:rPr>
        <w:t xml:space="preserve">Fiche utilisateur : nom, prénom, photo, email, téléphone(s), adresse, lot(s), rôle(s), copropriété(s), statut (actif/inactif/suspendu), dates connexion</w:t>
      </w:r>
    </w:p>
    <w:p>
      <w:pPr>
        <w:pStyle w:val="ListParagraph"/>
        <w:numPr>
          <w:ilvl w:val="0"/>
          <w:numId w:val="2"/>
        </w:numPr>
        <w:spacing w:after="60"/>
      </w:pPr>
      <w:r>
        <w:rPr>
          <w:rFonts w:ascii="Arial" w:cs="Arial" w:eastAsia="Arial" w:hAnsi="Arial"/>
          <w:sz w:val="20"/>
          <w:szCs w:val="20"/>
        </w:rPr>
        <w:t xml:space="preserve">Recherche multicritère : par nom, rôle, copropriété, immeuble, type de lot, statut</w:t>
      </w:r>
    </w:p>
    <w:p>
      <w:pPr>
        <w:pStyle w:val="ListParagraph"/>
        <w:numPr>
          <w:ilvl w:val="0"/>
          <w:numId w:val="2"/>
        </w:numPr>
        <w:spacing w:after="60"/>
      </w:pPr>
      <w:r>
        <w:rPr>
          <w:rFonts w:ascii="Arial" w:cs="Arial" w:eastAsia="Arial" w:hAnsi="Arial"/>
          <w:sz w:val="20"/>
          <w:szCs w:val="20"/>
        </w:rPr>
        <w:t xml:space="preserve">Annuaire résidents (vue propriétaire/locataire) : nom, immeuble/villa, téléphone — PAS d'accès aux données financières (conformité Loi 2013-450)</w:t>
      </w:r>
    </w:p>
    <w:p>
      <w:pPr>
        <w:pStyle w:val="ListParagraph"/>
        <w:numPr>
          <w:ilvl w:val="0"/>
          <w:numId w:val="2"/>
        </w:numPr>
        <w:spacing w:after="60"/>
      </w:pPr>
      <w:r>
        <w:rPr>
          <w:rFonts w:ascii="Arial" w:cs="Arial" w:eastAsia="Arial" w:hAnsi="Arial"/>
          <w:sz w:val="20"/>
          <w:szCs w:val="20"/>
        </w:rPr>
        <w:t xml:space="preserve">Annuaire prestataires : société, contact, spécialité, évaluation, conformité</w:t>
      </w:r>
    </w:p>
    <w:p>
      <w:pPr>
        <w:pStyle w:val="ListParagraph"/>
        <w:numPr>
          <w:ilvl w:val="0"/>
          <w:numId w:val="2"/>
        </w:numPr>
        <w:spacing w:after="60"/>
      </w:pPr>
      <w:r>
        <w:rPr>
          <w:rFonts w:ascii="Arial" w:cs="Arial" w:eastAsia="Arial" w:hAnsi="Arial"/>
          <w:sz w:val="20"/>
          <w:szCs w:val="20"/>
        </w:rPr>
        <w:t xml:space="preserve">Annuaire syndic interne : organigramme équipe, portefeuille, KPI individuels</w:t>
      </w:r>
    </w:p>
    <w:p>
      <w:pPr>
        <w:pStyle w:val="ListParagraph"/>
        <w:numPr>
          <w:ilvl w:val="0"/>
          <w:numId w:val="2"/>
        </w:numPr>
        <w:spacing w:after="60"/>
      </w:pPr>
      <w:r>
        <w:rPr>
          <w:rFonts w:ascii="Arial" w:cs="Arial" w:eastAsia="Arial" w:hAnsi="Arial"/>
          <w:sz w:val="20"/>
          <w:szCs w:val="20"/>
        </w:rPr>
        <w:t xml:space="preserve">Export CSV/Excel (profils autorisés), synchronisation LDAP/AD optionnelle</w:t>
      </w:r>
    </w:p>
    <w:p>
      <w:pPr>
        <w:spacing w:after="200"/>
      </w:pPr>
    </w:p>
    <w:p>
      <w:pPr>
        <w:spacing w:after="120"/>
      </w:pPr>
      <w:r>
        <w:rPr>
          <w:rFonts w:ascii="Arial" w:cs="Arial" w:eastAsia="Arial" w:hAnsi="Arial"/>
          <w:b/>
          <w:bCs/>
          <w:color w:val="1B4F72"/>
          <w:sz w:val="22"/>
          <w:szCs w:val="22"/>
        </w:rPr>
        <w:t xml:space="preserve">3.10.6 Cycle de vie des utilisateurs</w:t>
      </w:r>
    </w:p>
    <w:p>
      <w:pPr>
        <w:pStyle w:val="ListParagraph"/>
        <w:numPr>
          <w:ilvl w:val="0"/>
          <w:numId w:val="2"/>
        </w:numPr>
        <w:spacing w:after="60"/>
      </w:pPr>
      <w:r>
        <w:rPr>
          <w:rFonts w:ascii="Arial" w:cs="Arial" w:eastAsia="Arial" w:hAnsi="Arial"/>
          <w:sz w:val="20"/>
          <w:szCs w:val="20"/>
        </w:rPr>
        <w:t xml:space="preserve">Création : par admin ou auto-inscription (propriétaire reçoit lien à la signature de l'acte, locataire à la signature du bail) avec validation gestionnaire</w:t>
      </w:r>
    </w:p>
    <w:p>
      <w:pPr>
        <w:pStyle w:val="ListParagraph"/>
        <w:numPr>
          <w:ilvl w:val="0"/>
          <w:numId w:val="2"/>
        </w:numPr>
        <w:spacing w:after="60"/>
      </w:pPr>
      <w:r>
        <w:rPr>
          <w:rFonts w:ascii="Arial" w:cs="Arial" w:eastAsia="Arial" w:hAnsi="Arial"/>
          <w:sz w:val="20"/>
          <w:szCs w:val="20"/>
        </w:rPr>
        <w:t xml:space="preserve">Modification : coordonnées par l'utilisateur lui-même, rôles/périmètre par l'admin</w:t>
      </w:r>
    </w:p>
    <w:p>
      <w:pPr>
        <w:pStyle w:val="ListParagraph"/>
        <w:numPr>
          <w:ilvl w:val="0"/>
          <w:numId w:val="2"/>
        </w:numPr>
        <w:spacing w:after="60"/>
      </w:pPr>
      <w:r>
        <w:rPr>
          <w:rFonts w:ascii="Arial" w:cs="Arial" w:eastAsia="Arial" w:hAnsi="Arial"/>
          <w:sz w:val="20"/>
          <w:szCs w:val="20"/>
        </w:rPr>
        <w:t xml:space="preserve">Mutation : vente de lot → ancien propriétaire désactivé, nouveau créé avec transfert historique</w:t>
      </w:r>
    </w:p>
    <w:p>
      <w:pPr>
        <w:pStyle w:val="ListParagraph"/>
        <w:numPr>
          <w:ilvl w:val="0"/>
          <w:numId w:val="2"/>
        </w:numPr>
        <w:spacing w:after="60"/>
      </w:pPr>
      <w:r>
        <w:rPr>
          <w:rFonts w:ascii="Arial" w:cs="Arial" w:eastAsia="Arial" w:hAnsi="Arial"/>
          <w:sz w:val="20"/>
          <w:szCs w:val="20"/>
        </w:rPr>
        <w:t xml:space="preserve">Suspension : compte gelé temporairement (impayés, litige) sans suppression</w:t>
      </w:r>
    </w:p>
    <w:p>
      <w:pPr>
        <w:pStyle w:val="ListParagraph"/>
        <w:numPr>
          <w:ilvl w:val="0"/>
          <w:numId w:val="2"/>
        </w:numPr>
        <w:spacing w:after="60"/>
      </w:pPr>
      <w:r>
        <w:rPr>
          <w:rFonts w:ascii="Arial" w:cs="Arial" w:eastAsia="Arial" w:hAnsi="Arial"/>
          <w:sz w:val="20"/>
          <w:szCs w:val="20"/>
        </w:rPr>
        <w:t xml:space="preserve">Désactivation : historique conservé mais plus d'accès</w:t>
      </w:r>
    </w:p>
    <w:p>
      <w:pPr>
        <w:pStyle w:val="ListParagraph"/>
        <w:numPr>
          <w:ilvl w:val="0"/>
          <w:numId w:val="2"/>
        </w:numPr>
        <w:spacing w:after="60"/>
      </w:pPr>
      <w:r>
        <w:rPr>
          <w:rFonts w:ascii="Arial" w:cs="Arial" w:eastAsia="Arial" w:hAnsi="Arial"/>
          <w:sz w:val="20"/>
          <w:szCs w:val="20"/>
        </w:rPr>
        <w:t xml:space="preserve">Effacement ARTCI : anonymisation données personnelles (Loi 2013-450) en conservant les données comptables obligatoires</w:t>
      </w:r>
    </w:p>
    <w:p>
      <w:pPr>
        <w:spacing w:after="200"/>
      </w:pPr>
    </w:p>
    <w:p>
      <w:pPr>
        <w:spacing w:after="120"/>
      </w:pPr>
      <w:r>
        <w:rPr>
          <w:rFonts w:ascii="Arial" w:cs="Arial" w:eastAsia="Arial" w:hAnsi="Arial"/>
          <w:b/>
          <w:bCs/>
          <w:color w:val="1B4F72"/>
          <w:sz w:val="22"/>
          <w:szCs w:val="22"/>
        </w:rPr>
        <w:t xml:space="preserve">3.10.7 Sécurité et authentification</w:t>
      </w:r>
    </w:p>
    <w:p>
      <w:pPr>
        <w:pStyle w:val="ListParagraph"/>
        <w:numPr>
          <w:ilvl w:val="0"/>
          <w:numId w:val="2"/>
        </w:numPr>
        <w:spacing w:after="60"/>
      </w:pPr>
      <w:r>
        <w:rPr>
          <w:rFonts w:ascii="Arial" w:cs="Arial" w:eastAsia="Arial" w:hAnsi="Arial"/>
          <w:sz w:val="20"/>
          <w:szCs w:val="20"/>
        </w:rPr>
        <w:t xml:space="preserve">Connexion : email + mot de passe avec politique de complexité paramétrable</w:t>
      </w:r>
    </w:p>
    <w:p>
      <w:pPr>
        <w:pStyle w:val="ListParagraph"/>
        <w:numPr>
          <w:ilvl w:val="0"/>
          <w:numId w:val="2"/>
        </w:numPr>
        <w:spacing w:after="60"/>
      </w:pPr>
      <w:r>
        <w:rPr>
          <w:rFonts w:ascii="Arial" w:cs="Arial" w:eastAsia="Arial" w:hAnsi="Arial"/>
          <w:sz w:val="20"/>
          <w:szCs w:val="20"/>
        </w:rPr>
        <w:t xml:space="preserve">2FA obligatoire pour admin, comptable, DAF — optionnel pour les autres (OTP SMS ou authenticator)</w:t>
      </w:r>
    </w:p>
    <w:p>
      <w:pPr>
        <w:pStyle w:val="ListParagraph"/>
        <w:numPr>
          <w:ilvl w:val="0"/>
          <w:numId w:val="2"/>
        </w:numPr>
        <w:spacing w:after="60"/>
      </w:pPr>
      <w:r>
        <w:rPr>
          <w:rFonts w:ascii="Arial" w:cs="Arial" w:eastAsia="Arial" w:hAnsi="Arial"/>
          <w:sz w:val="20"/>
          <w:szCs w:val="20"/>
        </w:rPr>
        <w:t xml:space="preserve">Verrouillage après N tentatives échouées (N paramétrable, défaut : 5)</w:t>
      </w:r>
    </w:p>
    <w:p>
      <w:pPr>
        <w:pStyle w:val="ListParagraph"/>
        <w:numPr>
          <w:ilvl w:val="0"/>
          <w:numId w:val="2"/>
        </w:numPr>
        <w:spacing w:after="60"/>
      </w:pPr>
      <w:r>
        <w:rPr>
          <w:rFonts w:ascii="Arial" w:cs="Arial" w:eastAsia="Arial" w:hAnsi="Arial"/>
          <w:sz w:val="20"/>
          <w:szCs w:val="20"/>
        </w:rPr>
        <w:t xml:space="preserve">Session timeout paramétrable par rôle (desktop : 30 min, mobile : 15 min)</w:t>
      </w:r>
    </w:p>
    <w:p>
      <w:pPr>
        <w:pStyle w:val="ListParagraph"/>
        <w:numPr>
          <w:ilvl w:val="0"/>
          <w:numId w:val="2"/>
        </w:numPr>
        <w:spacing w:after="60"/>
      </w:pPr>
      <w:r>
        <w:rPr>
          <w:rFonts w:ascii="Arial" w:cs="Arial" w:eastAsia="Arial" w:hAnsi="Arial"/>
          <w:sz w:val="20"/>
          <w:szCs w:val="20"/>
        </w:rPr>
        <w:t xml:space="preserve">Journal d'audit : chaque connexion/déconnexion tracée (IP, appareil, géoloc, succès/échec)</w:t>
      </w:r>
    </w:p>
    <w:p>
      <w:pPr>
        <w:pStyle w:val="ListParagraph"/>
        <w:numPr>
          <w:ilvl w:val="0"/>
          <w:numId w:val="2"/>
        </w:numPr>
        <w:spacing w:after="60"/>
      </w:pPr>
      <w:r>
        <w:rPr>
          <w:rFonts w:ascii="Arial" w:cs="Arial" w:eastAsia="Arial" w:hAnsi="Arial"/>
          <w:sz w:val="20"/>
          <w:szCs w:val="20"/>
        </w:rPr>
        <w:t xml:space="preserve">Réinitialisation mot de passe par email sécurisé, rotation obligatoire tous les N jours (paramétrable)</w:t>
      </w:r>
    </w:p>
    <w:p>
      <w:pPr>
        <w:pStyle w:val="ListParagraph"/>
        <w:numPr>
          <w:ilvl w:val="0"/>
          <w:numId w:val="2"/>
        </w:numPr>
        <w:spacing w:after="60"/>
      </w:pPr>
      <w:r>
        <w:rPr>
          <w:rFonts w:ascii="Arial" w:cs="Arial" w:eastAsia="Arial" w:hAnsi="Arial"/>
          <w:sz w:val="20"/>
          <w:szCs w:val="20"/>
        </w:rPr>
        <w:t xml:space="preserve">SSO optionnel : OAuth 2.0 / OpenID Connect pour les cabinets avec fournisseur d'identité externe</w:t>
      </w:r>
    </w:p>
    <w:p>
      <w:pPr>
        <w:spacing w:after="200"/>
      </w:pPr>
    </w:p>
    <w:p>
      <w:pPr>
        <w:spacing w:after="120"/>
      </w:pPr>
      <w:r>
        <w:rPr>
          <w:rFonts w:ascii="Arial" w:cs="Arial" w:eastAsia="Arial" w:hAnsi="Arial"/>
          <w:b/>
          <w:bCs/>
          <w:color w:val="1B4F72"/>
          <w:sz w:val="22"/>
          <w:szCs w:val="22"/>
        </w:rPr>
        <w:t xml:space="preserve">3.10.8 Tableau récapitulatif des droits par rôle (précâblage Green City)</w:t>
      </w:r>
    </w:p>
    <w:p>
      <w:pPr>
        <w:spacing w:after="120"/>
      </w:pPr>
      <w:r>
        <w:rPr>
          <w:rFonts w:ascii="Arial" w:cs="Arial" w:eastAsia="Arial" w:hAnsi="Arial"/>
          <w:color w:val="333333"/>
          <w:sz w:val="22"/>
          <w:szCs w:val="22"/>
        </w:rPr>
        <w:t xml:space="preserve">Paramétrage initial livré avec Green City — entièrement modifiable par l'administrateur :</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900"/>
        <w:gridCol w:w="900"/>
        <w:gridCol w:w="90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Rôle</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Lots</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Compta</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AG</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Locatif</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Travaux</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KPI</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Admin système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Directeur / DAF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Gestionnaire copro</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R+Q</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 locatif</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 commercial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Resp. technique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CRUD</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Assistante admin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Auditeur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Gest. terrain (mob)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Copropriétaire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Vote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CR(i)</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Membre 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Vote+R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r>
      <w:tr>
        <w:tc>
          <w:tcPr>
            <w:tcW w:type="dxa" w:w="1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Locataire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CR(i)</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Prestataire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r>
    </w:tbl>
    <w:p>
      <w:pPr>
        <w:spacing w:after="120"/>
      </w:pPr>
      <w:r>
        <w:rPr>
          <w:rFonts w:ascii="Arial" w:cs="Arial" w:eastAsia="Arial" w:hAnsi="Arial"/>
          <w:i/>
          <w:iCs/>
          <w:color w:val="7F8C8D"/>
          <w:sz w:val="22"/>
          <w:szCs w:val="22"/>
        </w:rPr>
        <w:t xml:space="preserve">C=Créer R=Lire U=Modifier D=Supprimer *=son périmètre °=ses données ©=sa copro (i)=incidents (f)=factures V=validation Q=quittancement S=saisie (mob)=mobile</w:t>
      </w:r>
    </w:p>
    <w:p>
      <w:pPr>
        <w:spacing w:after="200"/>
      </w:pPr>
    </w:p>
    <w:p>
      <w:pPr>
        <w:pStyle w:val="Heading2"/>
      </w:pPr>
      <w:r>
        <w:t xml:space="preserve">3.11 Module de veille juridique</w:t>
      </w:r>
    </w:p>
    <w:p>
      <w:pPr>
        <w:spacing w:after="120"/>
      </w:pPr>
      <w:r>
        <w:rPr>
          <w:rFonts w:ascii="Arial" w:cs="Arial" w:eastAsia="Arial" w:hAnsi="Arial"/>
          <w:b/>
          <w:bCs/>
          <w:color w:val="333333"/>
          <w:sz w:val="22"/>
          <w:szCs w:val="22"/>
        </w:rPr>
        <w:t xml:space="preserve">Le module de veille juridique est un outil proactif qui surveille en continu les évolutions du cadre légal applicable à la gestion immobilière en Côte d'Ivoire et dans l'espace OHADA, et alerte les gestionnaires en cas de changement impactant leur activité.</w:t>
      </w:r>
    </w:p>
    <w:p>
      <w:pPr>
        <w:spacing w:after="200"/>
      </w:pPr>
    </w:p>
    <w:p>
      <w:pPr>
        <w:spacing w:after="120"/>
      </w:pPr>
      <w:r>
        <w:rPr>
          <w:rFonts w:ascii="Arial" w:cs="Arial" w:eastAsia="Arial" w:hAnsi="Arial"/>
          <w:b/>
          <w:bCs/>
          <w:color w:val="1B4F72"/>
          <w:sz w:val="22"/>
          <w:szCs w:val="22"/>
        </w:rPr>
        <w:t xml:space="preserve">3.11.1 Sources de veille automatisée</w:t>
      </w:r>
    </w:p>
    <w:p>
      <w:pPr>
        <w:pStyle w:val="ListParagraph"/>
        <w:numPr>
          <w:ilvl w:val="0"/>
          <w:numId w:val="2"/>
        </w:numPr>
        <w:spacing w:after="60"/>
      </w:pPr>
      <w:r>
        <w:rPr>
          <w:rFonts w:ascii="Arial" w:cs="Arial" w:eastAsia="Arial" w:hAnsi="Arial"/>
          <w:sz w:val="20"/>
          <w:szCs w:val="20"/>
        </w:rPr>
        <w:t xml:space="preserve">Scraping automatique du Journal Officiel de Côte d'Ivoire (JORCI) pour les nouvelles lois et décrets</w:t>
      </w:r>
    </w:p>
    <w:p>
      <w:pPr>
        <w:pStyle w:val="ListParagraph"/>
        <w:numPr>
          <w:ilvl w:val="0"/>
          <w:numId w:val="2"/>
        </w:numPr>
        <w:spacing w:after="60"/>
      </w:pPr>
      <w:r>
        <w:rPr>
          <w:rFonts w:ascii="Arial" w:cs="Arial" w:eastAsia="Arial" w:hAnsi="Arial"/>
          <w:sz w:val="20"/>
          <w:szCs w:val="20"/>
        </w:rPr>
        <w:t xml:space="preserve">Surveillance du site du Ministère de la Construction, du Logement et de l'Urbanisme</w:t>
      </w:r>
    </w:p>
    <w:p>
      <w:pPr>
        <w:pStyle w:val="ListParagraph"/>
        <w:numPr>
          <w:ilvl w:val="0"/>
          <w:numId w:val="2"/>
        </w:numPr>
        <w:spacing w:after="60"/>
      </w:pPr>
      <w:r>
        <w:rPr>
          <w:rFonts w:ascii="Arial" w:cs="Arial" w:eastAsia="Arial" w:hAnsi="Arial"/>
          <w:sz w:val="20"/>
          <w:szCs w:val="20"/>
        </w:rPr>
        <w:t xml:space="preserve">Abonnement aux flux RSS/API de l'ARTCI (protection des données) pour les mises à jour réglementaires</w:t>
      </w:r>
    </w:p>
    <w:p>
      <w:pPr>
        <w:pStyle w:val="ListParagraph"/>
        <w:numPr>
          <w:ilvl w:val="0"/>
          <w:numId w:val="2"/>
        </w:numPr>
        <w:spacing w:after="60"/>
      </w:pPr>
      <w:r>
        <w:rPr>
          <w:rFonts w:ascii="Arial" w:cs="Arial" w:eastAsia="Arial" w:hAnsi="Arial"/>
          <w:sz w:val="20"/>
          <w:szCs w:val="20"/>
        </w:rPr>
        <w:t xml:space="preserve">Surveillance du portail OHADA (www.ohada.org) pour les modifications des Actes Uniformes (AUDCG, SYSCOHADA)</w:t>
      </w:r>
    </w:p>
    <w:p>
      <w:pPr>
        <w:pStyle w:val="ListParagraph"/>
        <w:numPr>
          <w:ilvl w:val="0"/>
          <w:numId w:val="2"/>
        </w:numPr>
        <w:spacing w:after="60"/>
      </w:pPr>
      <w:r>
        <w:rPr>
          <w:rFonts w:ascii="Arial" w:cs="Arial" w:eastAsia="Arial" w:hAnsi="Arial"/>
          <w:sz w:val="20"/>
          <w:szCs w:val="20"/>
        </w:rPr>
        <w:t xml:space="preserve">Surveillance du site de la DGI (Direction Générale des Impôts) pour les évolutions fiscales</w:t>
      </w:r>
    </w:p>
    <w:p>
      <w:pPr>
        <w:pStyle w:val="ListParagraph"/>
        <w:numPr>
          <w:ilvl w:val="0"/>
          <w:numId w:val="2"/>
        </w:numPr>
        <w:spacing w:after="60"/>
      </w:pPr>
      <w:r>
        <w:rPr>
          <w:rFonts w:ascii="Arial" w:cs="Arial" w:eastAsia="Arial" w:hAnsi="Arial"/>
          <w:sz w:val="20"/>
          <w:szCs w:val="20"/>
        </w:rPr>
        <w:t xml:space="preserve">Surveillance du site de la BCEAO/UEMOA pour les réglementations bancaires et monétiques</w:t>
      </w:r>
    </w:p>
    <w:p>
      <w:pPr>
        <w:pStyle w:val="ListParagraph"/>
        <w:numPr>
          <w:ilvl w:val="0"/>
          <w:numId w:val="2"/>
        </w:numPr>
        <w:spacing w:after="60"/>
      </w:pPr>
      <w:r>
        <w:rPr>
          <w:rFonts w:ascii="Arial" w:cs="Arial" w:eastAsia="Arial" w:hAnsi="Arial"/>
          <w:sz w:val="20"/>
          <w:szCs w:val="20"/>
        </w:rPr>
        <w:t xml:space="preserve">Abonnement aux API du CNDJ (Centre National de Documentation Juridique) si disponibles</w:t>
      </w:r>
    </w:p>
    <w:p>
      <w:pPr>
        <w:pStyle w:val="ListParagraph"/>
        <w:numPr>
          <w:ilvl w:val="0"/>
          <w:numId w:val="2"/>
        </w:numPr>
        <w:spacing w:after="60"/>
      </w:pPr>
      <w:r>
        <w:rPr>
          <w:rFonts w:ascii="Arial" w:cs="Arial" w:eastAsia="Arial" w:hAnsi="Arial"/>
          <w:sz w:val="20"/>
          <w:szCs w:val="20"/>
        </w:rPr>
        <w:t xml:space="preserve">Surveillance de JuriAfrica.com et autres bases de données juridiques africaines</w:t>
      </w:r>
    </w:p>
    <w:p>
      <w:pPr>
        <w:pStyle w:val="ListParagraph"/>
        <w:numPr>
          <w:ilvl w:val="0"/>
          <w:numId w:val="2"/>
        </w:numPr>
        <w:spacing w:after="60"/>
      </w:pPr>
      <w:r>
        <w:rPr>
          <w:rFonts w:ascii="Arial" w:cs="Arial" w:eastAsia="Arial" w:hAnsi="Arial"/>
          <w:sz w:val="20"/>
          <w:szCs w:val="20"/>
        </w:rPr>
        <w:t xml:space="preserve">Flux RSS de l'Assemblée Nationale de Côte d'Ivoire (projets de loi en discussion)</w:t>
      </w:r>
    </w:p>
    <w:p>
      <w:pPr>
        <w:spacing w:after="200"/>
      </w:pPr>
    </w:p>
    <w:p>
      <w:pPr>
        <w:spacing w:after="120"/>
      </w:pPr>
      <w:r>
        <w:rPr>
          <w:rFonts w:ascii="Arial" w:cs="Arial" w:eastAsia="Arial" w:hAnsi="Arial"/>
          <w:b/>
          <w:bCs/>
          <w:color w:val="1B4F72"/>
          <w:sz w:val="22"/>
          <w:szCs w:val="22"/>
        </w:rPr>
        <w:t xml:space="preserve">3.11.2 Traitement et analyse</w:t>
      </w:r>
    </w:p>
    <w:p>
      <w:pPr>
        <w:pStyle w:val="ListParagraph"/>
        <w:numPr>
          <w:ilvl w:val="0"/>
          <w:numId w:val="2"/>
        </w:numPr>
        <w:spacing w:after="60"/>
      </w:pPr>
      <w:r>
        <w:rPr>
          <w:rFonts w:ascii="Arial" w:cs="Arial" w:eastAsia="Arial" w:hAnsi="Arial"/>
          <w:sz w:val="20"/>
          <w:szCs w:val="20"/>
        </w:rPr>
        <w:t xml:space="preserve">Moteur de filtrage par mots-clés : copropriété, bail, habitation, syndic, loyer, charges, foncier, construction, OHADA, données personnelles</w:t>
      </w:r>
    </w:p>
    <w:p>
      <w:pPr>
        <w:pStyle w:val="ListParagraph"/>
        <w:numPr>
          <w:ilvl w:val="0"/>
          <w:numId w:val="2"/>
        </w:numPr>
        <w:spacing w:after="60"/>
      </w:pPr>
      <w:r>
        <w:rPr>
          <w:rFonts w:ascii="Arial" w:cs="Arial" w:eastAsia="Arial" w:hAnsi="Arial"/>
          <w:sz w:val="20"/>
          <w:szCs w:val="20"/>
        </w:rPr>
        <w:t xml:space="preserve">Classification automatique par domaine : copropriété, bail habitation, bail commercial, fiscalité, données personnelles, construction, urbanisme</w:t>
      </w:r>
    </w:p>
    <w:p>
      <w:pPr>
        <w:pStyle w:val="ListParagraph"/>
        <w:numPr>
          <w:ilvl w:val="0"/>
          <w:numId w:val="2"/>
        </w:numPr>
        <w:spacing w:after="60"/>
      </w:pPr>
      <w:r>
        <w:rPr>
          <w:rFonts w:ascii="Arial" w:cs="Arial" w:eastAsia="Arial" w:hAnsi="Arial"/>
          <w:sz w:val="20"/>
          <w:szCs w:val="20"/>
        </w:rPr>
        <w:t xml:space="preserve">Évaluation d'impact : GreenSyndic identifie si une nouvelle disposition affecte un paramètre configurable du logiciel</w:t>
      </w:r>
    </w:p>
    <w:p>
      <w:pPr>
        <w:pStyle w:val="ListParagraph"/>
        <w:numPr>
          <w:ilvl w:val="0"/>
          <w:numId w:val="2"/>
        </w:numPr>
        <w:spacing w:after="60"/>
      </w:pPr>
      <w:r>
        <w:rPr>
          <w:rFonts w:ascii="Arial" w:cs="Arial" w:eastAsia="Arial" w:hAnsi="Arial"/>
          <w:sz w:val="20"/>
          <w:szCs w:val="20"/>
        </w:rPr>
        <w:t xml:space="preserve">Historique des textes collectés avec archivage et recherche full-text</w:t>
      </w:r>
    </w:p>
    <w:p>
      <w:pPr>
        <w:pStyle w:val="ListParagraph"/>
        <w:numPr>
          <w:ilvl w:val="0"/>
          <w:numId w:val="2"/>
        </w:numPr>
        <w:spacing w:after="60"/>
      </w:pPr>
      <w:r>
        <w:rPr>
          <w:rFonts w:ascii="Arial" w:cs="Arial" w:eastAsia="Arial" w:hAnsi="Arial"/>
          <w:sz w:val="20"/>
          <w:szCs w:val="20"/>
        </w:rPr>
        <w:t xml:space="preserve">IA/NLP optionnel : résumé automatique des textes juridiques longs, extraction des articles pertinents</w:t>
      </w:r>
    </w:p>
    <w:p>
      <w:pPr>
        <w:spacing w:after="200"/>
      </w:pPr>
    </w:p>
    <w:p>
      <w:pPr>
        <w:spacing w:after="120"/>
      </w:pPr>
      <w:r>
        <w:rPr>
          <w:rFonts w:ascii="Arial" w:cs="Arial" w:eastAsia="Arial" w:hAnsi="Arial"/>
          <w:b/>
          <w:bCs/>
          <w:color w:val="1B4F72"/>
          <w:sz w:val="22"/>
          <w:szCs w:val="22"/>
        </w:rPr>
        <w:t xml:space="preserve">3.11.3 Alertes et notifications</w:t>
      </w:r>
    </w:p>
    <w:p>
      <w:pPr>
        <w:pStyle w:val="ListParagraph"/>
        <w:numPr>
          <w:ilvl w:val="0"/>
          <w:numId w:val="2"/>
        </w:numPr>
        <w:spacing w:after="60"/>
      </w:pPr>
      <w:r>
        <w:rPr>
          <w:rFonts w:ascii="Arial" w:cs="Arial" w:eastAsia="Arial" w:hAnsi="Arial"/>
          <w:sz w:val="20"/>
          <w:szCs w:val="20"/>
        </w:rPr>
        <w:t xml:space="preserve">Notification push/email au gestionnaire syndic dès qu'un texte pertinent est détecté</w:t>
      </w:r>
    </w:p>
    <w:p>
      <w:pPr>
        <w:pStyle w:val="ListParagraph"/>
        <w:numPr>
          <w:ilvl w:val="0"/>
          <w:numId w:val="2"/>
        </w:numPr>
        <w:spacing w:after="60"/>
      </w:pPr>
      <w:r>
        <w:rPr>
          <w:rFonts w:ascii="Arial" w:cs="Arial" w:eastAsia="Arial" w:hAnsi="Arial"/>
          <w:sz w:val="20"/>
          <w:szCs w:val="20"/>
        </w:rPr>
        <w:t xml:space="preserve">Niveau de criticité : information, attention (impact potentiel), urgent (modification de paramètre requise)</w:t>
      </w:r>
    </w:p>
    <w:p>
      <w:pPr>
        <w:pStyle w:val="ListParagraph"/>
        <w:numPr>
          <w:ilvl w:val="0"/>
          <w:numId w:val="2"/>
        </w:numPr>
        <w:spacing w:after="60"/>
      </w:pPr>
      <w:r>
        <w:rPr>
          <w:rFonts w:ascii="Arial" w:cs="Arial" w:eastAsia="Arial" w:hAnsi="Arial"/>
          <w:sz w:val="20"/>
          <w:szCs w:val="20"/>
        </w:rPr>
        <w:t xml:space="preserve">Lien direct vers le texte source officiel</w:t>
      </w:r>
    </w:p>
    <w:p>
      <w:pPr>
        <w:pStyle w:val="ListParagraph"/>
        <w:numPr>
          <w:ilvl w:val="0"/>
          <w:numId w:val="2"/>
        </w:numPr>
        <w:spacing w:after="60"/>
      </w:pPr>
      <w:r>
        <w:rPr>
          <w:rFonts w:ascii="Arial" w:cs="Arial" w:eastAsia="Arial" w:hAnsi="Arial"/>
          <w:sz w:val="20"/>
          <w:szCs w:val="20"/>
        </w:rPr>
        <w:t xml:space="preserve">Suggestion automatique de mise à jour du paramétrage si un taux ou seuil légal change (ex : plafond caution modifié)</w:t>
      </w:r>
    </w:p>
    <w:p>
      <w:pPr>
        <w:pStyle w:val="ListParagraph"/>
        <w:numPr>
          <w:ilvl w:val="0"/>
          <w:numId w:val="2"/>
        </w:numPr>
        <w:spacing w:after="60"/>
      </w:pPr>
      <w:r>
        <w:rPr>
          <w:rFonts w:ascii="Arial" w:cs="Arial" w:eastAsia="Arial" w:hAnsi="Arial"/>
          <w:sz w:val="20"/>
          <w:szCs w:val="20"/>
        </w:rPr>
        <w:t xml:space="preserve">Tableau de bord veille juridique : derniers textes, historique, statut de prise en compte</w:t>
      </w:r>
    </w:p>
    <w:p>
      <w:pPr>
        <w:spacing w:after="200"/>
      </w:pPr>
    </w:p>
    <w:p>
      <w:pPr>
        <w:spacing w:after="120"/>
      </w:pPr>
      <w:r>
        <w:rPr>
          <w:rFonts w:ascii="Arial" w:cs="Arial" w:eastAsia="Arial" w:hAnsi="Arial"/>
          <w:b/>
          <w:bCs/>
          <w:color w:val="1B4F72"/>
          <w:sz w:val="22"/>
          <w:szCs w:val="22"/>
        </w:rPr>
        <w:t xml:space="preserve">3.11.4 Conformité proactive</w:t>
      </w:r>
    </w:p>
    <w:p>
      <w:pPr>
        <w:pStyle w:val="ListParagraph"/>
        <w:numPr>
          <w:ilvl w:val="0"/>
          <w:numId w:val="2"/>
        </w:numPr>
        <w:spacing w:after="60"/>
      </w:pPr>
      <w:r>
        <w:rPr>
          <w:rFonts w:ascii="Arial" w:cs="Arial" w:eastAsia="Arial" w:hAnsi="Arial"/>
          <w:sz w:val="20"/>
          <w:szCs w:val="20"/>
        </w:rPr>
        <w:t xml:space="preserve">Checklist de conformité auto-générée : GreenSyndic compare les paramètres en vigueur avec les textes légaux détectés</w:t>
      </w:r>
    </w:p>
    <w:p>
      <w:pPr>
        <w:pStyle w:val="ListParagraph"/>
        <w:numPr>
          <w:ilvl w:val="0"/>
          <w:numId w:val="2"/>
        </w:numPr>
        <w:spacing w:after="60"/>
      </w:pPr>
      <w:r>
        <w:rPr>
          <w:rFonts w:ascii="Arial" w:cs="Arial" w:eastAsia="Arial" w:hAnsi="Arial"/>
          <w:sz w:val="20"/>
          <w:szCs w:val="20"/>
        </w:rPr>
        <w:t xml:space="preserve">Rapport trimestriel de conformité automatique pour le conseil syndical</w:t>
      </w:r>
    </w:p>
    <w:p>
      <w:pPr>
        <w:pStyle w:val="ListParagraph"/>
        <w:numPr>
          <w:ilvl w:val="0"/>
          <w:numId w:val="2"/>
        </w:numPr>
        <w:spacing w:after="60"/>
      </w:pPr>
      <w:r>
        <w:rPr>
          <w:rFonts w:ascii="Arial" w:cs="Arial" w:eastAsia="Arial" w:hAnsi="Arial"/>
          <w:sz w:val="20"/>
          <w:szCs w:val="20"/>
        </w:rPr>
        <w:t xml:space="preserve">Alertes anticipées sur les projets de loi en discussion (Assemblée Nationale) qui pourraient impacter la gestion</w:t>
      </w:r>
    </w:p>
    <w:p>
      <w:pPr>
        <w:pStyle w:val="ListParagraph"/>
        <w:numPr>
          <w:ilvl w:val="0"/>
          <w:numId w:val="2"/>
        </w:numPr>
        <w:spacing w:after="60"/>
      </w:pPr>
      <w:r>
        <w:rPr>
          <w:rFonts w:ascii="Arial" w:cs="Arial" w:eastAsia="Arial" w:hAnsi="Arial"/>
          <w:sz w:val="20"/>
          <w:szCs w:val="20"/>
        </w:rPr>
        <w:t xml:space="preserve">Base de connaissances juridique intégrée : les textes clés (CCH 2019, AUDCG, Loi 2013-450, etc.) sont consultables dans l'application avec recherche par article</w:t>
      </w:r>
    </w:p>
    <w:p>
      <w:pPr>
        <w:spacing w:after="200"/>
      </w:pPr>
    </w:p>
    <w:p>
      <w:r>
        <w:br w:type="page"/>
      </w:r>
    </w:p>
    <w:p>
      <w:pPr>
        <w:pStyle w:val="Heading1"/>
      </w:pPr>
      <w:r>
        <w:t xml:space="preserve">4. Application Propriétaire (Mobile)</w:t>
      </w:r>
    </w:p>
    <w:p>
      <w:pPr>
        <w:spacing w:after="120"/>
      </w:pPr>
      <w:r>
        <w:rPr>
          <w:rFonts w:ascii="Arial" w:cs="Arial" w:eastAsia="Arial" w:hAnsi="Arial"/>
          <w:color w:val="333333"/>
          <w:sz w:val="22"/>
          <w:szCs w:val="22"/>
        </w:rPr>
        <w:t xml:space="preserve">Application web mobile (PWA) dédiée aux propriétaires, accessible via navigateur sans téléchargement sur les stores. Reconnaissance automatique du statut de l'utilisateur : copropriétaire, bailleur, ou les deux (benchmark VILOGI &amp; Me).</w:t>
      </w:r>
    </w:p>
    <w:p>
      <w:pPr>
        <w:pStyle w:val="Heading2"/>
      </w:pPr>
      <w:r>
        <w:t xml:space="preserve">4.1 Fonctionnalités détaillées</w:t>
      </w:r>
    </w:p>
    <w:p>
      <w:pPr>
        <w:pStyle w:val="ListParagraph"/>
        <w:numPr>
          <w:ilvl w:val="0"/>
          <w:numId w:val="2"/>
        </w:numPr>
        <w:spacing w:after="60"/>
      </w:pPr>
      <w:r>
        <w:rPr>
          <w:rFonts w:ascii="Arial" w:cs="Arial" w:eastAsia="Arial" w:hAnsi="Arial"/>
          <w:sz w:val="20"/>
          <w:szCs w:val="20"/>
        </w:rPr>
        <w:t xml:space="preserve">Consultation du compte copropriétaire : solde, historique, appels de fonds</w:t>
      </w:r>
    </w:p>
    <w:p>
      <w:pPr>
        <w:pStyle w:val="ListParagraph"/>
        <w:numPr>
          <w:ilvl w:val="0"/>
          <w:numId w:val="2"/>
        </w:numPr>
        <w:spacing w:after="60"/>
      </w:pPr>
      <w:r>
        <w:rPr>
          <w:rFonts w:ascii="Arial" w:cs="Arial" w:eastAsia="Arial" w:hAnsi="Arial"/>
          <w:sz w:val="20"/>
          <w:szCs w:val="20"/>
        </w:rPr>
        <w:t xml:space="preserve">Paiement des appels de fonds par mobile money (Orange Money, MTN, Wave) ou virement BCEAO</w:t>
      </w:r>
    </w:p>
    <w:p>
      <w:pPr>
        <w:pStyle w:val="ListParagraph"/>
        <w:numPr>
          <w:ilvl w:val="0"/>
          <w:numId w:val="2"/>
        </w:numPr>
        <w:spacing w:after="60"/>
      </w:pPr>
      <w:r>
        <w:rPr>
          <w:rFonts w:ascii="Arial" w:cs="Arial" w:eastAsia="Arial" w:hAnsi="Arial"/>
          <w:sz w:val="20"/>
          <w:szCs w:val="20"/>
        </w:rPr>
        <w:t xml:space="preserve">Consultation des documents de copropriété : PV d'AG, règlement, carnet d'entretien</w:t>
      </w:r>
    </w:p>
    <w:p>
      <w:pPr>
        <w:pStyle w:val="ListParagraph"/>
        <w:numPr>
          <w:ilvl w:val="0"/>
          <w:numId w:val="2"/>
        </w:numPr>
        <w:spacing w:after="60"/>
      </w:pPr>
      <w:r>
        <w:rPr>
          <w:rFonts w:ascii="Arial" w:cs="Arial" w:eastAsia="Arial" w:hAnsi="Arial"/>
          <w:sz w:val="20"/>
          <w:szCs w:val="20"/>
        </w:rPr>
        <w:t xml:space="preserve">Vote à distance en AG depuis l'application (synchronisation temps réel)</w:t>
      </w:r>
    </w:p>
    <w:p>
      <w:pPr>
        <w:pStyle w:val="ListParagraph"/>
        <w:numPr>
          <w:ilvl w:val="0"/>
          <w:numId w:val="2"/>
        </w:numPr>
        <w:spacing w:after="60"/>
      </w:pPr>
      <w:r>
        <w:rPr>
          <w:rFonts w:ascii="Arial" w:cs="Arial" w:eastAsia="Arial" w:hAnsi="Arial"/>
          <w:sz w:val="20"/>
          <w:szCs w:val="20"/>
        </w:rPr>
        <w:t xml:space="preserve">Participation aux AG en visioconférence</w:t>
      </w:r>
    </w:p>
    <w:p>
      <w:pPr>
        <w:pStyle w:val="ListParagraph"/>
        <w:numPr>
          <w:ilvl w:val="0"/>
          <w:numId w:val="2"/>
        </w:numPr>
        <w:spacing w:after="60"/>
      </w:pPr>
      <w:r>
        <w:rPr>
          <w:rFonts w:ascii="Arial" w:cs="Arial" w:eastAsia="Arial" w:hAnsi="Arial"/>
          <w:sz w:val="20"/>
          <w:szCs w:val="20"/>
        </w:rPr>
        <w:t xml:space="preserve">Déclaration d'incidents avec photos et géolocalisation</w:t>
      </w:r>
    </w:p>
    <w:p>
      <w:pPr>
        <w:pStyle w:val="ListParagraph"/>
        <w:numPr>
          <w:ilvl w:val="0"/>
          <w:numId w:val="2"/>
        </w:numPr>
        <w:spacing w:after="60"/>
      </w:pPr>
      <w:r>
        <w:rPr>
          <w:rFonts w:ascii="Arial" w:cs="Arial" w:eastAsia="Arial" w:hAnsi="Arial"/>
          <w:sz w:val="20"/>
          <w:szCs w:val="20"/>
        </w:rPr>
        <w:t xml:space="preserve">Suivi des ordres de service et résolution des sinistres</w:t>
      </w:r>
    </w:p>
    <w:p>
      <w:pPr>
        <w:pStyle w:val="ListParagraph"/>
        <w:numPr>
          <w:ilvl w:val="0"/>
          <w:numId w:val="2"/>
        </w:numPr>
        <w:spacing w:after="60"/>
      </w:pPr>
      <w:r>
        <w:rPr>
          <w:rFonts w:ascii="Arial" w:cs="Arial" w:eastAsia="Arial" w:hAnsi="Arial"/>
          <w:sz w:val="20"/>
          <w:szCs w:val="20"/>
        </w:rPr>
        <w:t xml:space="preserve">Messagerie directe avec le syndic et le conseil syndical</w:t>
      </w:r>
    </w:p>
    <w:p>
      <w:pPr>
        <w:pStyle w:val="ListParagraph"/>
        <w:numPr>
          <w:ilvl w:val="0"/>
          <w:numId w:val="2"/>
        </w:numPr>
        <w:spacing w:after="60"/>
      </w:pPr>
      <w:r>
        <w:rPr>
          <w:rFonts w:ascii="Arial" w:cs="Arial" w:eastAsia="Arial" w:hAnsi="Arial"/>
          <w:sz w:val="20"/>
          <w:szCs w:val="20"/>
        </w:rPr>
        <w:t xml:space="preserve">Notifications push pour les communications importantes</w:t>
      </w:r>
    </w:p>
    <w:p>
      <w:pPr>
        <w:pStyle w:val="ListParagraph"/>
        <w:numPr>
          <w:ilvl w:val="0"/>
          <w:numId w:val="2"/>
        </w:numPr>
        <w:spacing w:after="60"/>
      </w:pPr>
      <w:r>
        <w:rPr>
          <w:rFonts w:ascii="Arial" w:cs="Arial" w:eastAsia="Arial" w:hAnsi="Arial"/>
          <w:sz w:val="20"/>
          <w:szCs w:val="20"/>
        </w:rPr>
        <w:t xml:space="preserve">Accès au carnet d'entretien de l'immeuble</w:t>
      </w:r>
    </w:p>
    <w:p>
      <w:pPr>
        <w:pStyle w:val="ListParagraph"/>
        <w:numPr>
          <w:ilvl w:val="0"/>
          <w:numId w:val="2"/>
        </w:numPr>
        <w:spacing w:after="60"/>
      </w:pPr>
      <w:r>
        <w:rPr>
          <w:rFonts w:ascii="Arial" w:cs="Arial" w:eastAsia="Arial" w:hAnsi="Arial"/>
          <w:sz w:val="20"/>
          <w:szCs w:val="20"/>
        </w:rPr>
        <w:t xml:space="preserve">Consultation de l'annuaire des prestataires</w:t>
      </w:r>
    </w:p>
    <w:p>
      <w:pPr>
        <w:pStyle w:val="ListParagraph"/>
        <w:numPr>
          <w:ilvl w:val="0"/>
          <w:numId w:val="2"/>
        </w:numPr>
        <w:spacing w:after="60"/>
      </w:pPr>
      <w:r>
        <w:rPr>
          <w:rFonts w:ascii="Arial" w:cs="Arial" w:eastAsia="Arial" w:hAnsi="Arial"/>
          <w:sz w:val="20"/>
          <w:szCs w:val="20"/>
        </w:rPr>
        <w:t xml:space="preserve">Outil d'estimation de la valeur du bien (fonctionnalité différenciante VILOGI)</w:t>
      </w:r>
    </w:p>
    <w:p>
      <w:pPr>
        <w:pStyle w:val="ListParagraph"/>
        <w:numPr>
          <w:ilvl w:val="0"/>
          <w:numId w:val="2"/>
        </w:numPr>
        <w:spacing w:after="60"/>
      </w:pPr>
      <w:r>
        <w:rPr>
          <w:rFonts w:ascii="Arial" w:cs="Arial" w:eastAsia="Arial" w:hAnsi="Arial"/>
          <w:sz w:val="20"/>
          <w:szCs w:val="20"/>
        </w:rPr>
        <w:t xml:space="preserve">Forum/tchat entre copropriétaires (inspiration Coprolib')</w:t>
      </w:r>
    </w:p>
    <w:p>
      <w:pPr>
        <w:pStyle w:val="ListParagraph"/>
        <w:numPr>
          <w:ilvl w:val="0"/>
          <w:numId w:val="2"/>
        </w:numPr>
        <w:spacing w:after="60"/>
      </w:pPr>
      <w:r>
        <w:rPr>
          <w:rFonts w:ascii="Arial" w:cs="Arial" w:eastAsia="Arial" w:hAnsi="Arial"/>
          <w:sz w:val="20"/>
          <w:szCs w:val="20"/>
        </w:rPr>
        <w:t xml:space="preserve">Calendrier des événements de la copropriété</w:t>
      </w:r>
    </w:p>
    <w:p>
      <w:pPr>
        <w:pStyle w:val="Heading2"/>
      </w:pPr>
      <w:r>
        <w:t xml:space="preserve">4.2 Fonctionnalités bailleur (si le propriétaire loue son bien)</w:t>
      </w:r>
    </w:p>
    <w:p>
      <w:pPr>
        <w:pStyle w:val="ListParagraph"/>
        <w:numPr>
          <w:ilvl w:val="0"/>
          <w:numId w:val="2"/>
        </w:numPr>
        <w:spacing w:after="60"/>
      </w:pPr>
      <w:r>
        <w:rPr>
          <w:rFonts w:ascii="Arial" w:cs="Arial" w:eastAsia="Arial" w:hAnsi="Arial"/>
          <w:sz w:val="20"/>
          <w:szCs w:val="20"/>
        </w:rPr>
        <w:t xml:space="preserve">Consultation du CRG (Compte Rendu de Gestion)</w:t>
      </w:r>
    </w:p>
    <w:p>
      <w:pPr>
        <w:pStyle w:val="ListParagraph"/>
        <w:numPr>
          <w:ilvl w:val="0"/>
          <w:numId w:val="2"/>
        </w:numPr>
        <w:spacing w:after="60"/>
      </w:pPr>
      <w:r>
        <w:rPr>
          <w:rFonts w:ascii="Arial" w:cs="Arial" w:eastAsia="Arial" w:hAnsi="Arial"/>
          <w:sz w:val="20"/>
          <w:szCs w:val="20"/>
        </w:rPr>
        <w:t xml:space="preserve">Suivi des loyers encaissés et des impayés locataires</w:t>
      </w:r>
    </w:p>
    <w:p>
      <w:pPr>
        <w:pStyle w:val="ListParagraph"/>
        <w:numPr>
          <w:ilvl w:val="0"/>
          <w:numId w:val="2"/>
        </w:numPr>
        <w:spacing w:after="60"/>
      </w:pPr>
      <w:r>
        <w:rPr>
          <w:rFonts w:ascii="Arial" w:cs="Arial" w:eastAsia="Arial" w:hAnsi="Arial"/>
          <w:sz w:val="20"/>
          <w:szCs w:val="20"/>
        </w:rPr>
        <w:t xml:space="preserve">Accès aux documents locatifs : baux, états des lieux, quittances</w:t>
      </w:r>
    </w:p>
    <w:p>
      <w:pPr>
        <w:pStyle w:val="ListParagraph"/>
        <w:numPr>
          <w:ilvl w:val="0"/>
          <w:numId w:val="2"/>
        </w:numPr>
        <w:spacing w:after="60"/>
      </w:pPr>
      <w:r>
        <w:rPr>
          <w:rFonts w:ascii="Arial" w:cs="Arial" w:eastAsia="Arial" w:hAnsi="Arial"/>
          <w:sz w:val="20"/>
          <w:szCs w:val="20"/>
        </w:rPr>
        <w:t xml:space="preserve">Déclaration des revenus fonciers simplifiée (impôt foncier DGI Côte d'Ivoire)</w:t>
      </w:r>
    </w:p>
    <w:p>
      <w:pPr>
        <w:pStyle w:val="ListParagraph"/>
        <w:numPr>
          <w:ilvl w:val="0"/>
          <w:numId w:val="2"/>
        </w:numPr>
        <w:spacing w:after="60"/>
      </w:pPr>
      <w:r>
        <w:rPr>
          <w:rFonts w:ascii="Arial" w:cs="Arial" w:eastAsia="Arial" w:hAnsi="Arial"/>
          <w:sz w:val="20"/>
          <w:szCs w:val="20"/>
        </w:rPr>
        <w:t xml:space="preserve">Alertes sur les échéances : révision de loyer, fin de bail, travaux</w:t>
      </w:r>
    </w:p>
    <w:p>
      <w:pPr>
        <w:pStyle w:val="Heading2"/>
      </w:pPr>
      <w:r>
        <w:t xml:space="preserve">4.3 User Stories Propriétaire</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propriétaire, </w:t>
      </w:r>
      <w:r>
        <w:rPr>
          <w:rFonts w:ascii="Arial" w:cs="Arial" w:eastAsia="Arial" w:hAnsi="Arial"/>
          <w:b/>
          <w:bCs/>
          <w:color w:val="27AE60"/>
          <w:sz w:val="20"/>
          <w:szCs w:val="20"/>
        </w:rPr>
        <w:t xml:space="preserve">JE VEUX </w:t>
      </w:r>
      <w:r>
        <w:rPr>
          <w:rFonts w:ascii="Arial" w:cs="Arial" w:eastAsia="Arial" w:hAnsi="Arial"/>
          <w:sz w:val="20"/>
          <w:szCs w:val="20"/>
        </w:rPr>
        <w:t xml:space="preserve">consulter mon solde et payer mes charges depuis mon téléphone, </w:t>
      </w:r>
      <w:r>
        <w:rPr>
          <w:rFonts w:ascii="Arial" w:cs="Arial" w:eastAsia="Arial" w:hAnsi="Arial"/>
          <w:b/>
          <w:bCs/>
          <w:color w:val="E67E22"/>
          <w:sz w:val="20"/>
          <w:szCs w:val="20"/>
        </w:rPr>
        <w:t xml:space="preserve">AFIN DE </w:t>
      </w:r>
      <w:r>
        <w:rPr>
          <w:rFonts w:ascii="Arial" w:cs="Arial" w:eastAsia="Arial" w:hAnsi="Arial"/>
          <w:sz w:val="20"/>
          <w:szCs w:val="20"/>
        </w:rPr>
        <w:t xml:space="preserve">ne plus avoir à me déplacer ou envoyer un chèque</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propriétaire, </w:t>
      </w:r>
      <w:r>
        <w:rPr>
          <w:rFonts w:ascii="Arial" w:cs="Arial" w:eastAsia="Arial" w:hAnsi="Arial"/>
          <w:b/>
          <w:bCs/>
          <w:color w:val="27AE60"/>
          <w:sz w:val="20"/>
          <w:szCs w:val="20"/>
        </w:rPr>
        <w:t xml:space="preserve">JE VEUX </w:t>
      </w:r>
      <w:r>
        <w:rPr>
          <w:rFonts w:ascii="Arial" w:cs="Arial" w:eastAsia="Arial" w:hAnsi="Arial"/>
          <w:sz w:val="20"/>
          <w:szCs w:val="20"/>
        </w:rPr>
        <w:t xml:space="preserve">voter à distance lors de l'AG, </w:t>
      </w:r>
      <w:r>
        <w:rPr>
          <w:rFonts w:ascii="Arial" w:cs="Arial" w:eastAsia="Arial" w:hAnsi="Arial"/>
          <w:b/>
          <w:bCs/>
          <w:color w:val="E67E22"/>
          <w:sz w:val="20"/>
          <w:szCs w:val="20"/>
        </w:rPr>
        <w:t xml:space="preserve">AFIN DE </w:t>
      </w:r>
      <w:r>
        <w:rPr>
          <w:rFonts w:ascii="Arial" w:cs="Arial" w:eastAsia="Arial" w:hAnsi="Arial"/>
          <w:sz w:val="20"/>
          <w:szCs w:val="20"/>
        </w:rPr>
        <w:t xml:space="preserve">participer aux décisions même si je ne peux pas être présent</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propriétaire bailleur, </w:t>
      </w:r>
      <w:r>
        <w:rPr>
          <w:rFonts w:ascii="Arial" w:cs="Arial" w:eastAsia="Arial" w:hAnsi="Arial"/>
          <w:b/>
          <w:bCs/>
          <w:color w:val="27AE60"/>
          <w:sz w:val="20"/>
          <w:szCs w:val="20"/>
        </w:rPr>
        <w:t xml:space="preserve">JE VEUX </w:t>
      </w:r>
      <w:r>
        <w:rPr>
          <w:rFonts w:ascii="Arial" w:cs="Arial" w:eastAsia="Arial" w:hAnsi="Arial"/>
          <w:sz w:val="20"/>
          <w:szCs w:val="20"/>
        </w:rPr>
        <w:t xml:space="preserve">voir le CRG et les loyers perçus en temps réel, </w:t>
      </w:r>
      <w:r>
        <w:rPr>
          <w:rFonts w:ascii="Arial" w:cs="Arial" w:eastAsia="Arial" w:hAnsi="Arial"/>
          <w:b/>
          <w:bCs/>
          <w:color w:val="E67E22"/>
          <w:sz w:val="20"/>
          <w:szCs w:val="20"/>
        </w:rPr>
        <w:t xml:space="preserve">AFIN DE </w:t>
      </w:r>
      <w:r>
        <w:rPr>
          <w:rFonts w:ascii="Arial" w:cs="Arial" w:eastAsia="Arial" w:hAnsi="Arial"/>
          <w:sz w:val="20"/>
          <w:szCs w:val="20"/>
        </w:rPr>
        <w:t xml:space="preserve">suivre la rentabilité de mon investissement</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copropriétaire, </w:t>
      </w:r>
      <w:r>
        <w:rPr>
          <w:rFonts w:ascii="Arial" w:cs="Arial" w:eastAsia="Arial" w:hAnsi="Arial"/>
          <w:b/>
          <w:bCs/>
          <w:color w:val="27AE60"/>
          <w:sz w:val="20"/>
          <w:szCs w:val="20"/>
        </w:rPr>
        <w:t xml:space="preserve">JE VEUX </w:t>
      </w:r>
      <w:r>
        <w:rPr>
          <w:rFonts w:ascii="Arial" w:cs="Arial" w:eastAsia="Arial" w:hAnsi="Arial"/>
          <w:sz w:val="20"/>
          <w:szCs w:val="20"/>
        </w:rPr>
        <w:t xml:space="preserve">signaler une fuite dans les parties communes avec une photo, </w:t>
      </w:r>
      <w:r>
        <w:rPr>
          <w:rFonts w:ascii="Arial" w:cs="Arial" w:eastAsia="Arial" w:hAnsi="Arial"/>
          <w:b/>
          <w:bCs/>
          <w:color w:val="E67E22"/>
          <w:sz w:val="20"/>
          <w:szCs w:val="20"/>
        </w:rPr>
        <w:t xml:space="preserve">AFIN DE </w:t>
      </w:r>
      <w:r>
        <w:rPr>
          <w:rFonts w:ascii="Arial" w:cs="Arial" w:eastAsia="Arial" w:hAnsi="Arial"/>
          <w:sz w:val="20"/>
          <w:szCs w:val="20"/>
        </w:rPr>
        <w:t xml:space="preserve">que le syndic intervienne rapidement</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membre du conseil syndical, </w:t>
      </w:r>
      <w:r>
        <w:rPr>
          <w:rFonts w:ascii="Arial" w:cs="Arial" w:eastAsia="Arial" w:hAnsi="Arial"/>
          <w:b/>
          <w:bCs/>
          <w:color w:val="27AE60"/>
          <w:sz w:val="20"/>
          <w:szCs w:val="20"/>
        </w:rPr>
        <w:t xml:space="preserve">JE VEUX </w:t>
      </w:r>
      <w:r>
        <w:rPr>
          <w:rFonts w:ascii="Arial" w:cs="Arial" w:eastAsia="Arial" w:hAnsi="Arial"/>
          <w:sz w:val="20"/>
          <w:szCs w:val="20"/>
        </w:rPr>
        <w:t xml:space="preserve">consulter le grand livre et les balances, </w:t>
      </w:r>
      <w:r>
        <w:rPr>
          <w:rFonts w:ascii="Arial" w:cs="Arial" w:eastAsia="Arial" w:hAnsi="Arial"/>
          <w:b/>
          <w:bCs/>
          <w:color w:val="E67E22"/>
          <w:sz w:val="20"/>
          <w:szCs w:val="20"/>
        </w:rPr>
        <w:t xml:space="preserve">AFIN DE </w:t>
      </w:r>
      <w:r>
        <w:rPr>
          <w:rFonts w:ascii="Arial" w:cs="Arial" w:eastAsia="Arial" w:hAnsi="Arial"/>
          <w:sz w:val="20"/>
          <w:szCs w:val="20"/>
        </w:rPr>
        <w:t xml:space="preserve">contrôler la gestion financière du syndic</w:t>
      </w:r>
    </w:p>
    <w:p>
      <w:r>
        <w:br w:type="page"/>
      </w:r>
    </w:p>
    <w:p>
      <w:pPr>
        <w:pStyle w:val="Heading1"/>
      </w:pPr>
      <w:r>
        <w:t xml:space="preserve">5. Application Locataire (Mobile)</w:t>
      </w:r>
    </w:p>
    <w:p>
      <w:pPr>
        <w:spacing w:after="120"/>
      </w:pPr>
      <w:r>
        <w:rPr>
          <w:rFonts w:ascii="Arial" w:cs="Arial" w:eastAsia="Arial" w:hAnsi="Arial"/>
          <w:color w:val="333333"/>
          <w:sz w:val="22"/>
          <w:szCs w:val="22"/>
        </w:rPr>
        <w:t xml:space="preserve">Application web mobile (PWA) simplifiée pour les locataires résidentiels et commerciaux. Accessible via navigateur, installable sur l'écran d'accueil.</w:t>
      </w:r>
    </w:p>
    <w:p>
      <w:pPr>
        <w:pStyle w:val="Heading2"/>
      </w:pPr>
      <w:r>
        <w:t xml:space="preserve">5.1 Fonctionnalités détaillées</w:t>
      </w:r>
    </w:p>
    <w:p>
      <w:pPr>
        <w:pStyle w:val="ListParagraph"/>
        <w:numPr>
          <w:ilvl w:val="0"/>
          <w:numId w:val="2"/>
        </w:numPr>
        <w:spacing w:after="60"/>
      </w:pPr>
      <w:r>
        <w:rPr>
          <w:rFonts w:ascii="Arial" w:cs="Arial" w:eastAsia="Arial" w:hAnsi="Arial"/>
          <w:sz w:val="20"/>
          <w:szCs w:val="20"/>
        </w:rPr>
        <w:t xml:space="preserve">Consultation et téléchargement des quittances de loyer</w:t>
      </w:r>
    </w:p>
    <w:p>
      <w:pPr>
        <w:pStyle w:val="ListParagraph"/>
        <w:numPr>
          <w:ilvl w:val="0"/>
          <w:numId w:val="2"/>
        </w:numPr>
        <w:spacing w:after="60"/>
      </w:pPr>
      <w:r>
        <w:rPr>
          <w:rFonts w:ascii="Arial" w:cs="Arial" w:eastAsia="Arial" w:hAnsi="Arial"/>
          <w:sz w:val="20"/>
          <w:szCs w:val="20"/>
        </w:rPr>
        <w:t xml:space="preserve">Paiement du loyer par mobile money (Orange Money, MTN, Wave) ou virement bancaire</w:t>
      </w:r>
    </w:p>
    <w:p>
      <w:pPr>
        <w:pStyle w:val="ListParagraph"/>
        <w:numPr>
          <w:ilvl w:val="0"/>
          <w:numId w:val="2"/>
        </w:numPr>
        <w:spacing w:after="60"/>
      </w:pPr>
      <w:r>
        <w:rPr>
          <w:rFonts w:ascii="Arial" w:cs="Arial" w:eastAsia="Arial" w:hAnsi="Arial"/>
          <w:sz w:val="20"/>
          <w:szCs w:val="20"/>
        </w:rPr>
        <w:t xml:space="preserve">Relevé de compte locataire avec historique</w:t>
      </w:r>
    </w:p>
    <w:p>
      <w:pPr>
        <w:pStyle w:val="ListParagraph"/>
        <w:numPr>
          <w:ilvl w:val="0"/>
          <w:numId w:val="2"/>
        </w:numPr>
        <w:spacing w:after="60"/>
      </w:pPr>
      <w:r>
        <w:rPr>
          <w:rFonts w:ascii="Arial" w:cs="Arial" w:eastAsia="Arial" w:hAnsi="Arial"/>
          <w:sz w:val="20"/>
          <w:szCs w:val="20"/>
        </w:rPr>
        <w:t xml:space="preserve">Déclaration d'incidents avec photos, description et suivi en temps réel</w:t>
      </w:r>
    </w:p>
    <w:p>
      <w:pPr>
        <w:pStyle w:val="ListParagraph"/>
        <w:numPr>
          <w:ilvl w:val="0"/>
          <w:numId w:val="2"/>
        </w:numPr>
        <w:spacing w:after="60"/>
      </w:pPr>
      <w:r>
        <w:rPr>
          <w:rFonts w:ascii="Arial" w:cs="Arial" w:eastAsia="Arial" w:hAnsi="Arial"/>
          <w:sz w:val="20"/>
          <w:szCs w:val="20"/>
        </w:rPr>
        <w:t xml:space="preserve">Suivi des interventions et ordres de service en cours</w:t>
      </w:r>
    </w:p>
    <w:p>
      <w:pPr>
        <w:pStyle w:val="ListParagraph"/>
        <w:numPr>
          <w:ilvl w:val="0"/>
          <w:numId w:val="2"/>
        </w:numPr>
        <w:spacing w:after="60"/>
      </w:pPr>
      <w:r>
        <w:rPr>
          <w:rFonts w:ascii="Arial" w:cs="Arial" w:eastAsia="Arial" w:hAnsi="Arial"/>
          <w:sz w:val="20"/>
          <w:szCs w:val="20"/>
        </w:rPr>
        <w:t xml:space="preserve">Communication directe avec le gestionnaire</w:t>
      </w:r>
    </w:p>
    <w:p>
      <w:pPr>
        <w:pStyle w:val="ListParagraph"/>
        <w:numPr>
          <w:ilvl w:val="0"/>
          <w:numId w:val="2"/>
        </w:numPr>
        <w:spacing w:after="60"/>
      </w:pPr>
      <w:r>
        <w:rPr>
          <w:rFonts w:ascii="Arial" w:cs="Arial" w:eastAsia="Arial" w:hAnsi="Arial"/>
          <w:sz w:val="20"/>
          <w:szCs w:val="20"/>
        </w:rPr>
        <w:t xml:space="preserve">Consultation du bail et des documents contractuels</w:t>
      </w:r>
    </w:p>
    <w:p>
      <w:pPr>
        <w:pStyle w:val="ListParagraph"/>
        <w:numPr>
          <w:ilvl w:val="0"/>
          <w:numId w:val="2"/>
        </w:numPr>
        <w:spacing w:after="60"/>
      </w:pPr>
      <w:r>
        <w:rPr>
          <w:rFonts w:ascii="Arial" w:cs="Arial" w:eastAsia="Arial" w:hAnsi="Arial"/>
          <w:sz w:val="20"/>
          <w:szCs w:val="20"/>
        </w:rPr>
        <w:t xml:space="preserve">État des lieux d'entrée/sortie consultable</w:t>
      </w:r>
    </w:p>
    <w:p>
      <w:pPr>
        <w:pStyle w:val="ListParagraph"/>
        <w:numPr>
          <w:ilvl w:val="0"/>
          <w:numId w:val="2"/>
        </w:numPr>
        <w:spacing w:after="60"/>
      </w:pPr>
      <w:r>
        <w:rPr>
          <w:rFonts w:ascii="Arial" w:cs="Arial" w:eastAsia="Arial" w:hAnsi="Arial"/>
          <w:sz w:val="20"/>
          <w:szCs w:val="20"/>
        </w:rPr>
        <w:t xml:space="preserve">Régularisation des charges : détail et contestation possible</w:t>
      </w:r>
    </w:p>
    <w:p>
      <w:pPr>
        <w:pStyle w:val="ListParagraph"/>
        <w:numPr>
          <w:ilvl w:val="0"/>
          <w:numId w:val="2"/>
        </w:numPr>
        <w:spacing w:after="60"/>
      </w:pPr>
      <w:r>
        <w:rPr>
          <w:rFonts w:ascii="Arial" w:cs="Arial" w:eastAsia="Arial" w:hAnsi="Arial"/>
          <w:sz w:val="20"/>
          <w:szCs w:val="20"/>
        </w:rPr>
        <w:t xml:space="preserve">Calendrier des événements (coupures d'eau, travaux, AG informative)</w:t>
      </w:r>
    </w:p>
    <w:p>
      <w:pPr>
        <w:pStyle w:val="ListParagraph"/>
        <w:numPr>
          <w:ilvl w:val="0"/>
          <w:numId w:val="2"/>
        </w:numPr>
        <w:spacing w:after="60"/>
      </w:pPr>
      <w:r>
        <w:rPr>
          <w:rFonts w:ascii="Arial" w:cs="Arial" w:eastAsia="Arial" w:hAnsi="Arial"/>
          <w:sz w:val="20"/>
          <w:szCs w:val="20"/>
        </w:rPr>
        <w:t xml:space="preserve">Annuaire des contacts utiles (gardien, urgences, syndic)</w:t>
      </w:r>
    </w:p>
    <w:p>
      <w:pPr>
        <w:pStyle w:val="ListParagraph"/>
        <w:numPr>
          <w:ilvl w:val="0"/>
          <w:numId w:val="2"/>
        </w:numPr>
        <w:spacing w:after="60"/>
      </w:pPr>
      <w:r>
        <w:rPr>
          <w:rFonts w:ascii="Arial" w:cs="Arial" w:eastAsia="Arial" w:hAnsi="Arial"/>
          <w:sz w:val="20"/>
          <w:szCs w:val="20"/>
        </w:rPr>
        <w:t xml:space="preserve">Notification push pour les échéances et communications</w:t>
      </w:r>
    </w:p>
    <w:p>
      <w:pPr>
        <w:pStyle w:val="ListParagraph"/>
        <w:numPr>
          <w:ilvl w:val="0"/>
          <w:numId w:val="2"/>
        </w:numPr>
        <w:spacing w:after="60"/>
      </w:pPr>
      <w:r>
        <w:rPr>
          <w:rFonts w:ascii="Arial" w:cs="Arial" w:eastAsia="Arial" w:hAnsi="Arial"/>
          <w:sz w:val="20"/>
          <w:szCs w:val="20"/>
        </w:rPr>
        <w:t xml:space="preserve">Accès aux règles de vie de la copropriété</w:t>
      </w:r>
    </w:p>
    <w:p>
      <w:pPr>
        <w:pStyle w:val="Heading2"/>
      </w:pPr>
      <w:r>
        <w:t xml:space="preserve">5.2 User Stories Locataire</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locataire, </w:t>
      </w:r>
      <w:r>
        <w:rPr>
          <w:rFonts w:ascii="Arial" w:cs="Arial" w:eastAsia="Arial" w:hAnsi="Arial"/>
          <w:b/>
          <w:bCs/>
          <w:color w:val="27AE60"/>
          <w:sz w:val="20"/>
          <w:szCs w:val="20"/>
        </w:rPr>
        <w:t xml:space="preserve">JE VEUX </w:t>
      </w:r>
      <w:r>
        <w:rPr>
          <w:rFonts w:ascii="Arial" w:cs="Arial" w:eastAsia="Arial" w:hAnsi="Arial"/>
          <w:sz w:val="20"/>
          <w:szCs w:val="20"/>
        </w:rPr>
        <w:t xml:space="preserve">déclarer un dégât des eaux avec photos depuis mon téléphone, </w:t>
      </w:r>
      <w:r>
        <w:rPr>
          <w:rFonts w:ascii="Arial" w:cs="Arial" w:eastAsia="Arial" w:hAnsi="Arial"/>
          <w:b/>
          <w:bCs/>
          <w:color w:val="E67E22"/>
          <w:sz w:val="20"/>
          <w:szCs w:val="20"/>
        </w:rPr>
        <w:t xml:space="preserve">AFIN DE </w:t>
      </w:r>
      <w:r>
        <w:rPr>
          <w:rFonts w:ascii="Arial" w:cs="Arial" w:eastAsia="Arial" w:hAnsi="Arial"/>
          <w:sz w:val="20"/>
          <w:szCs w:val="20"/>
        </w:rPr>
        <w:t xml:space="preserve">que le problème soit traité rapidement</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locataire, </w:t>
      </w:r>
      <w:r>
        <w:rPr>
          <w:rFonts w:ascii="Arial" w:cs="Arial" w:eastAsia="Arial" w:hAnsi="Arial"/>
          <w:b/>
          <w:bCs/>
          <w:color w:val="27AE60"/>
          <w:sz w:val="20"/>
          <w:szCs w:val="20"/>
        </w:rPr>
        <w:t xml:space="preserve">JE VEUX </w:t>
      </w:r>
      <w:r>
        <w:rPr>
          <w:rFonts w:ascii="Arial" w:cs="Arial" w:eastAsia="Arial" w:hAnsi="Arial"/>
          <w:sz w:val="20"/>
          <w:szCs w:val="20"/>
        </w:rPr>
        <w:t xml:space="preserve">télécharger mes quittances de loyer, </w:t>
      </w:r>
      <w:r>
        <w:rPr>
          <w:rFonts w:ascii="Arial" w:cs="Arial" w:eastAsia="Arial" w:hAnsi="Arial"/>
          <w:b/>
          <w:bCs/>
          <w:color w:val="E67E22"/>
          <w:sz w:val="20"/>
          <w:szCs w:val="20"/>
        </w:rPr>
        <w:t xml:space="preserve">AFIN DE </w:t>
      </w:r>
      <w:r>
        <w:rPr>
          <w:rFonts w:ascii="Arial" w:cs="Arial" w:eastAsia="Arial" w:hAnsi="Arial"/>
          <w:sz w:val="20"/>
          <w:szCs w:val="20"/>
        </w:rPr>
        <w:t xml:space="preserve">les fournir à mon employeur ou pour une demande de logement</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locataire commercial, </w:t>
      </w:r>
      <w:r>
        <w:rPr>
          <w:rFonts w:ascii="Arial" w:cs="Arial" w:eastAsia="Arial" w:hAnsi="Arial"/>
          <w:b/>
          <w:bCs/>
          <w:color w:val="27AE60"/>
          <w:sz w:val="20"/>
          <w:szCs w:val="20"/>
        </w:rPr>
        <w:t xml:space="preserve">JE VEUX </w:t>
      </w:r>
      <w:r>
        <w:rPr>
          <w:rFonts w:ascii="Arial" w:cs="Arial" w:eastAsia="Arial" w:hAnsi="Arial"/>
          <w:sz w:val="20"/>
          <w:szCs w:val="20"/>
        </w:rPr>
        <w:t xml:space="preserve">consulter mon échéancier de loyer indexé, </w:t>
      </w:r>
      <w:r>
        <w:rPr>
          <w:rFonts w:ascii="Arial" w:cs="Arial" w:eastAsia="Arial" w:hAnsi="Arial"/>
          <w:b/>
          <w:bCs/>
          <w:color w:val="E67E22"/>
          <w:sz w:val="20"/>
          <w:szCs w:val="20"/>
        </w:rPr>
        <w:t xml:space="preserve">AFIN DE </w:t>
      </w:r>
      <w:r>
        <w:rPr>
          <w:rFonts w:ascii="Arial" w:cs="Arial" w:eastAsia="Arial" w:hAnsi="Arial"/>
          <w:sz w:val="20"/>
          <w:szCs w:val="20"/>
        </w:rPr>
        <w:t xml:space="preserve">anticiper mes charges et planifier ma trésorerie</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locataire, </w:t>
      </w:r>
      <w:r>
        <w:rPr>
          <w:rFonts w:ascii="Arial" w:cs="Arial" w:eastAsia="Arial" w:hAnsi="Arial"/>
          <w:b/>
          <w:bCs/>
          <w:color w:val="27AE60"/>
          <w:sz w:val="20"/>
          <w:szCs w:val="20"/>
        </w:rPr>
        <w:t xml:space="preserve">JE VEUX </w:t>
      </w:r>
      <w:r>
        <w:rPr>
          <w:rFonts w:ascii="Arial" w:cs="Arial" w:eastAsia="Arial" w:hAnsi="Arial"/>
          <w:sz w:val="20"/>
          <w:szCs w:val="20"/>
        </w:rPr>
        <w:t xml:space="preserve">payer mon loyer par prélèvement automatique, </w:t>
      </w:r>
      <w:r>
        <w:rPr>
          <w:rFonts w:ascii="Arial" w:cs="Arial" w:eastAsia="Arial" w:hAnsi="Arial"/>
          <w:b/>
          <w:bCs/>
          <w:color w:val="E67E22"/>
          <w:sz w:val="20"/>
          <w:szCs w:val="20"/>
        </w:rPr>
        <w:t xml:space="preserve">AFIN DE </w:t>
      </w:r>
      <w:r>
        <w:rPr>
          <w:rFonts w:ascii="Arial" w:cs="Arial" w:eastAsia="Arial" w:hAnsi="Arial"/>
          <w:sz w:val="20"/>
          <w:szCs w:val="20"/>
        </w:rPr>
        <w:t xml:space="preserve">ne plus oublier les échéances</w:t>
      </w:r>
    </w:p>
    <w:p>
      <w:r>
        <w:br w:type="page"/>
      </w:r>
    </w:p>
    <w:p>
      <w:pPr>
        <w:pStyle w:val="Heading1"/>
      </w:pPr>
      <w:r>
        <w:t xml:space="preserve">6. Gestion des entités spéciales — COSMOS Bassam &amp; Green City</w:t>
      </w:r>
    </w:p>
    <w:p>
      <w:pPr>
        <w:spacing w:after="120"/>
      </w:pPr>
      <w:r>
        <w:rPr>
          <w:rFonts w:ascii="Arial" w:cs="Arial" w:eastAsia="Arial" w:hAnsi="Arial"/>
          <w:color w:val="333333"/>
          <w:sz w:val="22"/>
          <w:szCs w:val="22"/>
        </w:rPr>
        <w:t xml:space="preserve">L'ensemble Green City / COSMOS Bassam comporte 15 types d'entités distinctes nécessitant des fonctionnalités spécifiques dans le logiciel.</w:t>
      </w:r>
    </w:p>
    <w:p>
      <w:pPr>
        <w:pStyle w:val="Heading2"/>
      </w:pPr>
      <w:r>
        <w:t xml:space="preserve">6.1 Centre commercial COSMOS Bassam (16 320 m² surfaces commerciales)</w:t>
      </w:r>
    </w:p>
    <w:p>
      <w:pPr>
        <w:pStyle w:val="ListParagraph"/>
        <w:numPr>
          <w:ilvl w:val="0"/>
          <w:numId w:val="2"/>
        </w:numPr>
        <w:spacing w:after="60"/>
      </w:pPr>
      <w:r>
        <w:rPr>
          <w:rFonts w:ascii="Arial" w:cs="Arial" w:eastAsia="Arial" w:hAnsi="Arial"/>
          <w:sz w:val="20"/>
          <w:szCs w:val="20"/>
        </w:rPr>
        <w:t xml:space="preserve">Gestion multi-type de lots commerciaux : super U (2 370m²), 9 moyennes surfaces (282-824m²), 7 grandes boutiques (86-317m²), 22 petites boutiques (30-50m²)</w:t>
      </w:r>
    </w:p>
    <w:p>
      <w:pPr>
        <w:pStyle w:val="ListParagraph"/>
        <w:numPr>
          <w:ilvl w:val="0"/>
          <w:numId w:val="2"/>
        </w:numPr>
        <w:spacing w:after="60"/>
      </w:pPr>
      <w:r>
        <w:rPr>
          <w:rFonts w:ascii="Arial" w:cs="Arial" w:eastAsia="Arial" w:hAnsi="Arial"/>
          <w:sz w:val="20"/>
          <w:szCs w:val="20"/>
        </w:rPr>
        <w:t xml:space="preserve">14 kiosques en mail (6m² chacun) : baux courts, rotation fréquente, facturation spécifique</w:t>
      </w:r>
    </w:p>
    <w:p>
      <w:pPr>
        <w:pStyle w:val="ListParagraph"/>
        <w:numPr>
          <w:ilvl w:val="0"/>
          <w:numId w:val="2"/>
        </w:numPr>
        <w:spacing w:after="60"/>
      </w:pPr>
      <w:r>
        <w:rPr>
          <w:rFonts w:ascii="Arial" w:cs="Arial" w:eastAsia="Arial" w:hAnsi="Arial"/>
          <w:sz w:val="20"/>
          <w:szCs w:val="20"/>
        </w:rPr>
        <w:t xml:space="preserve">Gestion des enseignes identifiées : Super U, DIP N DIP, KIABI, City Sports, ALDO, LOVISA, ZINO, Librairie de France, Yves Rocher, Alain Afflelou</w:t>
      </w:r>
    </w:p>
    <w:p>
      <w:pPr>
        <w:pStyle w:val="ListParagraph"/>
        <w:numPr>
          <w:ilvl w:val="0"/>
          <w:numId w:val="2"/>
        </w:numPr>
        <w:spacing w:after="60"/>
      </w:pPr>
      <w:r>
        <w:rPr>
          <w:rFonts w:ascii="Arial" w:cs="Arial" w:eastAsia="Arial" w:hAnsi="Arial"/>
          <w:sz w:val="20"/>
          <w:szCs w:val="20"/>
        </w:rPr>
        <w:t xml:space="preserve">Baux commerciaux OHADA (AUDCG art. 101-134) : durée libre, révision triennale, droit au renouvellement après 3 ans</w:t>
      </w:r>
    </w:p>
    <w:p>
      <w:pPr>
        <w:pStyle w:val="ListParagraph"/>
        <w:numPr>
          <w:ilvl w:val="0"/>
          <w:numId w:val="2"/>
        </w:numPr>
        <w:spacing w:after="60"/>
      </w:pPr>
      <w:r>
        <w:rPr>
          <w:rFonts w:ascii="Arial" w:cs="Arial" w:eastAsia="Arial" w:hAnsi="Arial"/>
          <w:sz w:val="20"/>
          <w:szCs w:val="20"/>
        </w:rPr>
        <w:t xml:space="preserve">Gestion de la capacité d'occupation (7 605 personnes max pour l'ensemble) et conformité sécurité incendie</w:t>
      </w:r>
    </w:p>
    <w:p>
      <w:pPr>
        <w:pStyle w:val="ListParagraph"/>
        <w:numPr>
          <w:ilvl w:val="0"/>
          <w:numId w:val="2"/>
        </w:numPr>
        <w:spacing w:after="60"/>
      </w:pPr>
      <w:r>
        <w:rPr>
          <w:rFonts w:ascii="Arial" w:cs="Arial" w:eastAsia="Arial" w:hAnsi="Arial"/>
          <w:sz w:val="20"/>
          <w:szCs w:val="20"/>
        </w:rPr>
        <w:t xml:space="preserve">Locaux techniques spécifiques : TGBT, TGS, sprinkler (205m²), groupe électrogène, local informatique, PC sécurité avec caméras</w:t>
      </w:r>
    </w:p>
    <w:p>
      <w:pPr>
        <w:pStyle w:val="ListParagraph"/>
        <w:numPr>
          <w:ilvl w:val="0"/>
          <w:numId w:val="2"/>
        </w:numPr>
        <w:spacing w:after="60"/>
      </w:pPr>
      <w:r>
        <w:rPr>
          <w:rFonts w:ascii="Arial" w:cs="Arial" w:eastAsia="Arial" w:hAnsi="Arial"/>
          <w:sz w:val="20"/>
          <w:szCs w:val="20"/>
        </w:rPr>
        <w:t xml:space="preserve">Locaux sociaux : vestiaires/toilettes personnel, espace repos preneurs, bureaux gestion centre (274m²)</w:t>
      </w:r>
    </w:p>
    <w:p>
      <w:pPr>
        <w:pStyle w:val="ListParagraph"/>
        <w:numPr>
          <w:ilvl w:val="0"/>
          <w:numId w:val="2"/>
        </w:numPr>
        <w:spacing w:after="60"/>
      </w:pPr>
      <w:r>
        <w:rPr>
          <w:rFonts w:ascii="Arial" w:cs="Arial" w:eastAsia="Arial" w:hAnsi="Arial"/>
          <w:sz w:val="20"/>
          <w:szCs w:val="20"/>
        </w:rPr>
        <w:t xml:space="preserve">Gestion des aires de livraison (accès camions 20'/40') et logistique déchets (tri + bac à graisse souterrain)</w:t>
      </w:r>
    </w:p>
    <w:p>
      <w:pPr>
        <w:pStyle w:val="Heading2"/>
      </w:pPr>
      <w:r>
        <w:t xml:space="preserve">6.2 Retail Park (5 078 m²)</w:t>
      </w:r>
    </w:p>
    <w:p>
      <w:pPr>
        <w:pStyle w:val="ListParagraph"/>
        <w:numPr>
          <w:ilvl w:val="0"/>
          <w:numId w:val="2"/>
        </w:numPr>
        <w:spacing w:after="60"/>
      </w:pPr>
      <w:r>
        <w:rPr>
          <w:rFonts w:ascii="Arial" w:cs="Arial" w:eastAsia="Arial" w:hAnsi="Arial"/>
          <w:sz w:val="20"/>
          <w:szCs w:val="20"/>
        </w:rPr>
        <w:t xml:space="preserve">4 grandes unités MU1-MU4 (1 188 à 1 370 m²), baux commerciaux séparés du mall</w:t>
      </w:r>
    </w:p>
    <w:p>
      <w:pPr>
        <w:pStyle w:val="ListParagraph"/>
        <w:numPr>
          <w:ilvl w:val="0"/>
          <w:numId w:val="2"/>
        </w:numPr>
        <w:spacing w:after="60"/>
      </w:pPr>
      <w:r>
        <w:rPr>
          <w:rFonts w:ascii="Arial" w:cs="Arial" w:eastAsia="Arial" w:hAnsi="Arial"/>
          <w:sz w:val="20"/>
          <w:szCs w:val="20"/>
        </w:rPr>
        <w:t xml:space="preserve">Capacité d'occupation de 3 385 personnes</w:t>
      </w:r>
    </w:p>
    <w:p>
      <w:pPr>
        <w:pStyle w:val="ListParagraph"/>
        <w:numPr>
          <w:ilvl w:val="0"/>
          <w:numId w:val="2"/>
        </w:numPr>
        <w:spacing w:after="60"/>
      </w:pPr>
      <w:r>
        <w:rPr>
          <w:rFonts w:ascii="Arial" w:cs="Arial" w:eastAsia="Arial" w:hAnsi="Arial"/>
          <w:sz w:val="20"/>
          <w:szCs w:val="20"/>
        </w:rPr>
        <w:t xml:space="preserve">Gestion des charges communes spécifiques : parking extérieur (466 pl. + 15 PMR), éclairage, entretien espaces verts</w:t>
      </w:r>
    </w:p>
    <w:p>
      <w:pPr>
        <w:pStyle w:val="Heading2"/>
      </w:pPr>
      <w:r>
        <w:t xml:space="preserve">6.3 Food Court &amp; Restaurants</w:t>
      </w:r>
    </w:p>
    <w:p>
      <w:pPr>
        <w:pStyle w:val="ListParagraph"/>
        <w:numPr>
          <w:ilvl w:val="0"/>
          <w:numId w:val="2"/>
        </w:numPr>
        <w:spacing w:after="60"/>
      </w:pPr>
      <w:r>
        <w:rPr>
          <w:rFonts w:ascii="Arial" w:cs="Arial" w:eastAsia="Arial" w:hAnsi="Arial"/>
          <w:sz w:val="20"/>
          <w:szCs w:val="20"/>
        </w:rPr>
        <w:t xml:space="preserve">4 restaurants (R1-R4, 190 à 238m²) avec espaces intérieurs + terrasses extérieures</w:t>
      </w:r>
    </w:p>
    <w:p>
      <w:pPr>
        <w:pStyle w:val="ListParagraph"/>
        <w:numPr>
          <w:ilvl w:val="0"/>
          <w:numId w:val="2"/>
        </w:numPr>
        <w:spacing w:after="60"/>
      </w:pPr>
      <w:r>
        <w:rPr>
          <w:rFonts w:ascii="Arial" w:cs="Arial" w:eastAsia="Arial" w:hAnsi="Arial"/>
          <w:sz w:val="20"/>
          <w:szCs w:val="20"/>
        </w:rPr>
        <w:t xml:space="preserve">6 locaux fast-food (FC1-FC6, 40 à 104m²) avec cours de service dédiées</w:t>
      </w:r>
    </w:p>
    <w:p>
      <w:pPr>
        <w:pStyle w:val="ListParagraph"/>
        <w:numPr>
          <w:ilvl w:val="0"/>
          <w:numId w:val="2"/>
        </w:numPr>
        <w:spacing w:after="60"/>
      </w:pPr>
      <w:r>
        <w:rPr>
          <w:rFonts w:ascii="Arial" w:cs="Arial" w:eastAsia="Arial" w:hAnsi="Arial"/>
          <w:sz w:val="20"/>
          <w:szCs w:val="20"/>
        </w:rPr>
        <w:t xml:space="preserve">Food-court climatisé : ~200 places (150 int + 50 ext), espace d'assises (323m²)</w:t>
      </w:r>
    </w:p>
    <w:p>
      <w:pPr>
        <w:pStyle w:val="ListParagraph"/>
        <w:numPr>
          <w:ilvl w:val="0"/>
          <w:numId w:val="2"/>
        </w:numPr>
        <w:spacing w:after="60"/>
      </w:pPr>
      <w:r>
        <w:rPr>
          <w:rFonts w:ascii="Arial" w:cs="Arial" w:eastAsia="Arial" w:hAnsi="Arial"/>
          <w:sz w:val="20"/>
          <w:szCs w:val="20"/>
        </w:rPr>
        <w:t xml:space="preserve">Logistique food-court dédiée : vaisselle, poubelles, bac à graisse souterrain (58m²)</w:t>
      </w:r>
    </w:p>
    <w:p>
      <w:pPr>
        <w:pStyle w:val="Heading2"/>
      </w:pPr>
      <w:r>
        <w:t xml:space="preserve">6.4 Station-service Oryx (1 260 m²)</w:t>
      </w:r>
    </w:p>
    <w:p>
      <w:pPr>
        <w:pStyle w:val="ListParagraph"/>
        <w:numPr>
          <w:ilvl w:val="0"/>
          <w:numId w:val="2"/>
        </w:numPr>
        <w:spacing w:after="60"/>
      </w:pPr>
      <w:r>
        <w:rPr>
          <w:rFonts w:ascii="Arial" w:cs="Arial" w:eastAsia="Arial" w:hAnsi="Arial"/>
          <w:sz w:val="20"/>
          <w:szCs w:val="20"/>
        </w:rPr>
        <w:t xml:space="preserve">Bail commercial spécifique de type concession/exploitation</w:t>
      </w:r>
    </w:p>
    <w:p>
      <w:pPr>
        <w:pStyle w:val="ListParagraph"/>
        <w:numPr>
          <w:ilvl w:val="0"/>
          <w:numId w:val="2"/>
        </w:numPr>
        <w:spacing w:after="60"/>
      </w:pPr>
      <w:r>
        <w:rPr>
          <w:rFonts w:ascii="Arial" w:cs="Arial" w:eastAsia="Arial" w:hAnsi="Arial"/>
          <w:sz w:val="20"/>
          <w:szCs w:val="20"/>
        </w:rPr>
        <w:t xml:space="preserve">Normes de sécurité hydrocarbures, environnement, accès pompiers</w:t>
      </w:r>
    </w:p>
    <w:p>
      <w:pPr>
        <w:pStyle w:val="ListParagraph"/>
        <w:numPr>
          <w:ilvl w:val="0"/>
          <w:numId w:val="2"/>
        </w:numPr>
        <w:spacing w:after="60"/>
      </w:pPr>
      <w:r>
        <w:rPr>
          <w:rFonts w:ascii="Arial" w:cs="Arial" w:eastAsia="Arial" w:hAnsi="Arial"/>
          <w:sz w:val="20"/>
          <w:szCs w:val="20"/>
        </w:rPr>
        <w:t xml:space="preserve">Facturation charges spécifiques : assainissement, éclairage zone accès, sécurité</w:t>
      </w:r>
    </w:p>
    <w:p>
      <w:pPr>
        <w:pStyle w:val="Heading2"/>
      </w:pPr>
      <w:r>
        <w:t xml:space="preserve">6.5 Clinique Novamed</w:t>
      </w:r>
    </w:p>
    <w:p>
      <w:pPr>
        <w:pStyle w:val="ListParagraph"/>
        <w:numPr>
          <w:ilvl w:val="0"/>
          <w:numId w:val="2"/>
        </w:numPr>
        <w:spacing w:after="60"/>
      </w:pPr>
      <w:r>
        <w:rPr>
          <w:rFonts w:ascii="Arial" w:cs="Arial" w:eastAsia="Arial" w:hAnsi="Arial"/>
          <w:sz w:val="20"/>
          <w:szCs w:val="20"/>
        </w:rPr>
        <w:t xml:space="preserve">Bail à usage professionnel santé (AUDCG) avec clauses spécifiques</w:t>
      </w:r>
    </w:p>
    <w:p>
      <w:pPr>
        <w:pStyle w:val="ListParagraph"/>
        <w:numPr>
          <w:ilvl w:val="0"/>
          <w:numId w:val="2"/>
        </w:numPr>
        <w:spacing w:after="60"/>
      </w:pPr>
      <w:r>
        <w:rPr>
          <w:rFonts w:ascii="Arial" w:cs="Arial" w:eastAsia="Arial" w:hAnsi="Arial"/>
          <w:sz w:val="20"/>
          <w:szCs w:val="20"/>
        </w:rPr>
        <w:t xml:space="preserve">Normes sanitaires et déchets médicaux (catégorie 8 CCH art. 10)</w:t>
      </w:r>
    </w:p>
    <w:p>
      <w:pPr>
        <w:pStyle w:val="ListParagraph"/>
        <w:numPr>
          <w:ilvl w:val="0"/>
          <w:numId w:val="2"/>
        </w:numPr>
        <w:spacing w:after="60"/>
      </w:pPr>
      <w:r>
        <w:rPr>
          <w:rFonts w:ascii="Arial" w:cs="Arial" w:eastAsia="Arial" w:hAnsi="Arial"/>
          <w:sz w:val="20"/>
          <w:szCs w:val="20"/>
        </w:rPr>
        <w:t xml:space="preserve">Conformité accessibilité PMR, groupes électrogènes prioritaires</w:t>
      </w:r>
    </w:p>
    <w:p>
      <w:pPr>
        <w:pStyle w:val="Heading2"/>
      </w:pPr>
      <w:r>
        <w:t xml:space="preserve">6.6 Afrika Banque</w:t>
      </w:r>
    </w:p>
    <w:p>
      <w:pPr>
        <w:pStyle w:val="ListParagraph"/>
        <w:numPr>
          <w:ilvl w:val="0"/>
          <w:numId w:val="2"/>
        </w:numPr>
        <w:spacing w:after="60"/>
      </w:pPr>
      <w:r>
        <w:rPr>
          <w:rFonts w:ascii="Arial" w:cs="Arial" w:eastAsia="Arial" w:hAnsi="Arial"/>
          <w:sz w:val="20"/>
          <w:szCs w:val="20"/>
        </w:rPr>
        <w:t xml:space="preserve">Bail bancaire avec clauses de sécurité renforcée</w:t>
      </w:r>
    </w:p>
    <w:p>
      <w:pPr>
        <w:pStyle w:val="ListParagraph"/>
        <w:numPr>
          <w:ilvl w:val="0"/>
          <w:numId w:val="2"/>
        </w:numPr>
        <w:spacing w:after="60"/>
      </w:pPr>
      <w:r>
        <w:rPr>
          <w:rFonts w:ascii="Arial" w:cs="Arial" w:eastAsia="Arial" w:hAnsi="Arial"/>
          <w:sz w:val="20"/>
          <w:szCs w:val="20"/>
        </w:rPr>
        <w:t xml:space="preserve">Exigences spécifiques : coffres, réseau indépendant, alimentation électrique secourue</w:t>
      </w:r>
    </w:p>
    <w:p>
      <w:pPr>
        <w:pStyle w:val="ListParagraph"/>
        <w:numPr>
          <w:ilvl w:val="0"/>
          <w:numId w:val="2"/>
        </w:numPr>
        <w:spacing w:after="60"/>
      </w:pPr>
      <w:r>
        <w:rPr>
          <w:rFonts w:ascii="Arial" w:cs="Arial" w:eastAsia="Arial" w:hAnsi="Arial"/>
          <w:sz w:val="20"/>
          <w:szCs w:val="20"/>
        </w:rPr>
        <w:t xml:space="preserve">Horaires d'ouverture spécifiques, gestion des flux clients</w:t>
      </w:r>
    </w:p>
    <w:p>
      <w:pPr>
        <w:pStyle w:val="Heading2"/>
      </w:pPr>
      <w:r>
        <w:t xml:space="preserve">6.7 Cinéma + Espaces de jeu (1 477 m²)</w:t>
      </w:r>
    </w:p>
    <w:p>
      <w:pPr>
        <w:pStyle w:val="ListParagraph"/>
        <w:numPr>
          <w:ilvl w:val="0"/>
          <w:numId w:val="2"/>
        </w:numPr>
        <w:spacing w:after="60"/>
      </w:pPr>
      <w:r>
        <w:rPr>
          <w:rFonts w:ascii="Arial" w:cs="Arial" w:eastAsia="Arial" w:hAnsi="Arial"/>
          <w:sz w:val="20"/>
          <w:szCs w:val="20"/>
        </w:rPr>
        <w:t xml:space="preserve">Bail commercial, conformité ERP catégorie 6 (CCH art. 10), Sapeurs-Pompiers Militaires</w:t>
      </w:r>
    </w:p>
    <w:p>
      <w:pPr>
        <w:pStyle w:val="ListParagraph"/>
        <w:numPr>
          <w:ilvl w:val="0"/>
          <w:numId w:val="2"/>
        </w:numPr>
        <w:spacing w:after="60"/>
      </w:pPr>
      <w:r>
        <w:rPr>
          <w:rFonts w:ascii="Arial" w:cs="Arial" w:eastAsia="Arial" w:hAnsi="Arial"/>
          <w:sz w:val="20"/>
          <w:szCs w:val="20"/>
        </w:rPr>
        <w:t xml:space="preserve">Capacité d'accueil : 250 personnes, gestion sécurité incendie</w:t>
      </w:r>
    </w:p>
    <w:p>
      <w:pPr>
        <w:pStyle w:val="ListParagraph"/>
        <w:numPr>
          <w:ilvl w:val="0"/>
          <w:numId w:val="2"/>
        </w:numPr>
        <w:spacing w:after="60"/>
      </w:pPr>
      <w:r>
        <w:rPr>
          <w:rFonts w:ascii="Arial" w:cs="Arial" w:eastAsia="Arial" w:hAnsi="Arial"/>
          <w:sz w:val="20"/>
          <w:szCs w:val="20"/>
        </w:rPr>
        <w:t xml:space="preserve">Connexion mall — retail park via espace jeu enfant (partie commune)</w:t>
      </w:r>
    </w:p>
    <w:p>
      <w:pPr>
        <w:pStyle w:val="Heading2"/>
      </w:pPr>
      <w:r>
        <w:t xml:space="preserve">6.8 École (18 classes maternelle + primaire)</w:t>
      </w:r>
    </w:p>
    <w:p>
      <w:pPr>
        <w:pStyle w:val="ListParagraph"/>
        <w:numPr>
          <w:ilvl w:val="0"/>
          <w:numId w:val="2"/>
        </w:numPr>
        <w:spacing w:after="60"/>
      </w:pPr>
      <w:r>
        <w:rPr>
          <w:rFonts w:ascii="Arial" w:cs="Arial" w:eastAsia="Arial" w:hAnsi="Arial"/>
          <w:sz w:val="20"/>
          <w:szCs w:val="20"/>
        </w:rPr>
        <w:t xml:space="preserve">Convention d'occupation ou bail avec opérateur éducatif</w:t>
      </w:r>
    </w:p>
    <w:p>
      <w:pPr>
        <w:pStyle w:val="ListParagraph"/>
        <w:numPr>
          <w:ilvl w:val="0"/>
          <w:numId w:val="2"/>
        </w:numPr>
        <w:spacing w:after="60"/>
      </w:pPr>
      <w:r>
        <w:rPr>
          <w:rFonts w:ascii="Arial" w:cs="Arial" w:eastAsia="Arial" w:hAnsi="Arial"/>
          <w:sz w:val="20"/>
          <w:szCs w:val="20"/>
        </w:rPr>
        <w:t xml:space="preserve">Conformité catégorie 4 CCH art. 10, sécurité renforcée enfants</w:t>
      </w:r>
    </w:p>
    <w:p>
      <w:pPr>
        <w:pStyle w:val="ListParagraph"/>
        <w:numPr>
          <w:ilvl w:val="0"/>
          <w:numId w:val="2"/>
        </w:numPr>
        <w:spacing w:after="60"/>
      </w:pPr>
      <w:r>
        <w:rPr>
          <w:rFonts w:ascii="Arial" w:cs="Arial" w:eastAsia="Arial" w:hAnsi="Arial"/>
          <w:sz w:val="20"/>
          <w:szCs w:val="20"/>
        </w:rPr>
        <w:t xml:space="preserve">Gestion périodes scolaires/vacances pour interventions maintenance</w:t>
      </w:r>
    </w:p>
    <w:p>
      <w:pPr>
        <w:pStyle w:val="Heading2"/>
      </w:pPr>
      <w:r>
        <w:t xml:space="preserve">6.9 Club sportif (piscine 25m + 3 terrains padel)</w:t>
      </w:r>
    </w:p>
    <w:p>
      <w:pPr>
        <w:pStyle w:val="ListParagraph"/>
        <w:numPr>
          <w:ilvl w:val="0"/>
          <w:numId w:val="2"/>
        </w:numPr>
        <w:spacing w:after="60"/>
      </w:pPr>
      <w:r>
        <w:rPr>
          <w:rFonts w:ascii="Arial" w:cs="Arial" w:eastAsia="Arial" w:hAnsi="Arial"/>
          <w:sz w:val="20"/>
          <w:szCs w:val="20"/>
        </w:rPr>
        <w:t xml:space="preserve">Bail opérateur privé spécialisé, gestion des abonnements résidents vs visiteurs</w:t>
      </w:r>
    </w:p>
    <w:p>
      <w:pPr>
        <w:pStyle w:val="ListParagraph"/>
        <w:numPr>
          <w:ilvl w:val="0"/>
          <w:numId w:val="2"/>
        </w:numPr>
        <w:spacing w:after="60"/>
      </w:pPr>
      <w:r>
        <w:rPr>
          <w:rFonts w:ascii="Arial" w:cs="Arial" w:eastAsia="Arial" w:hAnsi="Arial"/>
          <w:sz w:val="20"/>
          <w:szCs w:val="20"/>
        </w:rPr>
        <w:t xml:space="preserve">Normes sanitaires piscine, entretien technique spécifique</w:t>
      </w:r>
    </w:p>
    <w:p>
      <w:pPr>
        <w:pStyle w:val="Heading2"/>
      </w:pPr>
      <w:r>
        <w:t xml:space="preserve">6.10 Club House (400 m² sur 2 niveaux)</w:t>
      </w:r>
    </w:p>
    <w:p>
      <w:pPr>
        <w:pStyle w:val="ListParagraph"/>
        <w:numPr>
          <w:ilvl w:val="0"/>
          <w:numId w:val="2"/>
        </w:numPr>
        <w:spacing w:after="60"/>
      </w:pPr>
      <w:r>
        <w:rPr>
          <w:rFonts w:ascii="Arial" w:cs="Arial" w:eastAsia="Arial" w:hAnsi="Arial"/>
          <w:sz w:val="20"/>
          <w:szCs w:val="20"/>
        </w:rPr>
        <w:t xml:space="preserve">RDC : bureaux syndic de copropriété + salle AG + espace coworking + commerce de proximité + restauration légère</w:t>
      </w:r>
    </w:p>
    <w:p>
      <w:pPr>
        <w:pStyle w:val="ListParagraph"/>
        <w:numPr>
          <w:ilvl w:val="0"/>
          <w:numId w:val="2"/>
        </w:numPr>
        <w:spacing w:after="60"/>
      </w:pPr>
      <w:r>
        <w:rPr>
          <w:rFonts w:ascii="Arial" w:cs="Arial" w:eastAsia="Arial" w:hAnsi="Arial"/>
          <w:sz w:val="20"/>
          <w:szCs w:val="20"/>
        </w:rPr>
        <w:t xml:space="preserve">Étage : salle de fitness 200m² gérée par opérateur privé, ouverte résidents + visiteurs</w:t>
      </w:r>
    </w:p>
    <w:p>
      <w:pPr>
        <w:pStyle w:val="ListParagraph"/>
        <w:numPr>
          <w:ilvl w:val="0"/>
          <w:numId w:val="2"/>
        </w:numPr>
        <w:spacing w:after="60"/>
      </w:pPr>
      <w:r>
        <w:rPr>
          <w:rFonts w:ascii="Arial" w:cs="Arial" w:eastAsia="Arial" w:hAnsi="Arial"/>
          <w:sz w:val="20"/>
          <w:szCs w:val="20"/>
        </w:rPr>
        <w:t xml:space="preserve">Statut mixte : parties communes (bureaux syndic) + bail commercial (fitness, commerce)</w:t>
      </w:r>
    </w:p>
    <w:p>
      <w:pPr>
        <w:pStyle w:val="Heading2"/>
      </w:pPr>
      <w:r>
        <w:t xml:space="preserve">6.11 Infrastructures communes Green City</w:t>
      </w:r>
    </w:p>
    <w:p>
      <w:pPr>
        <w:pStyle w:val="ListParagraph"/>
        <w:numPr>
          <w:ilvl w:val="0"/>
          <w:numId w:val="2"/>
        </w:numPr>
        <w:spacing w:after="60"/>
      </w:pPr>
      <w:r>
        <w:rPr>
          <w:rFonts w:ascii="Arial" w:cs="Arial" w:eastAsia="Arial" w:hAnsi="Arial"/>
          <w:sz w:val="20"/>
          <w:szCs w:val="20"/>
        </w:rPr>
        <w:t xml:space="preserve">Panneaux photovoltaïques en toiture — suivi production et répartition énergie</w:t>
      </w:r>
    </w:p>
    <w:p>
      <w:pPr>
        <w:pStyle w:val="ListParagraph"/>
        <w:numPr>
          <w:ilvl w:val="0"/>
          <w:numId w:val="2"/>
        </w:numPr>
        <w:spacing w:after="60"/>
      </w:pPr>
      <w:r>
        <w:rPr>
          <w:rFonts w:ascii="Arial" w:cs="Arial" w:eastAsia="Arial" w:hAnsi="Arial"/>
          <w:sz w:val="20"/>
          <w:szCs w:val="20"/>
        </w:rPr>
        <w:t xml:space="preserve">Bornes de recharge véhicules électriques dans parkings immeubles</w:t>
      </w:r>
    </w:p>
    <w:p>
      <w:pPr>
        <w:pStyle w:val="ListParagraph"/>
        <w:numPr>
          <w:ilvl w:val="0"/>
          <w:numId w:val="2"/>
        </w:numPr>
        <w:spacing w:after="60"/>
      </w:pPr>
      <w:r>
        <w:rPr>
          <w:rFonts w:ascii="Arial" w:cs="Arial" w:eastAsia="Arial" w:hAnsi="Arial"/>
          <w:sz w:val="20"/>
          <w:szCs w:val="20"/>
        </w:rPr>
        <w:t xml:space="preserve">Éclairage public solaire sur l'ensemble de la cité</w:t>
      </w:r>
    </w:p>
    <w:p>
      <w:pPr>
        <w:pStyle w:val="ListParagraph"/>
        <w:numPr>
          <w:ilvl w:val="0"/>
          <w:numId w:val="2"/>
        </w:numPr>
        <w:spacing w:after="60"/>
      </w:pPr>
      <w:r>
        <w:rPr>
          <w:rFonts w:ascii="Arial" w:cs="Arial" w:eastAsia="Arial" w:hAnsi="Arial"/>
          <w:sz w:val="20"/>
          <w:szCs w:val="20"/>
        </w:rPr>
        <w:t xml:space="preserve">Station d'épuration (STEP) — contrat d'entretien 1M FCFA/mois</w:t>
      </w:r>
    </w:p>
    <w:p>
      <w:pPr>
        <w:pStyle w:val="ListParagraph"/>
        <w:numPr>
          <w:ilvl w:val="0"/>
          <w:numId w:val="2"/>
        </w:numPr>
        <w:spacing w:after="60"/>
      </w:pPr>
      <w:r>
        <w:rPr>
          <w:rFonts w:ascii="Arial" w:cs="Arial" w:eastAsia="Arial" w:hAnsi="Arial"/>
          <w:sz w:val="20"/>
          <w:szCs w:val="20"/>
        </w:rPr>
        <w:t xml:space="preserve">Noues végétales pour rétention eaux pluviales (conception paysagère durable)</w:t>
      </w:r>
    </w:p>
    <w:p>
      <w:r>
        <w:br w:type="page"/>
      </w:r>
    </w:p>
    <w:p>
      <w:pPr>
        <w:pStyle w:val="Heading1"/>
      </w:pPr>
      <w:r>
        <w:t xml:space="preserve">7. Analyse concurrentielle détaillée</w:t>
      </w:r>
    </w:p>
    <w:p>
      <w:pPr>
        <w:spacing w:after="120"/>
      </w:pPr>
      <w:r>
        <w:rPr>
          <w:rFonts w:ascii="Arial" w:cs="Arial" w:eastAsia="Arial" w:hAnsi="Arial"/>
          <w:color w:val="333333"/>
          <w:sz w:val="22"/>
          <w:szCs w:val="22"/>
        </w:rPr>
        <w:t xml:space="preserve">Analyse basée sur les 8 solutions du marché français. Aucune solution spécifique au marché ivoirien n'a été identifiée, ce qui confirme l'opportunité de ce projet.</w:t>
      </w:r>
    </w:p>
    <w:p>
      <w:pPr>
        <w:pStyle w:val="Heading2"/>
      </w:pPr>
      <w:r>
        <w:t xml:space="preserve">7.1 Matrice comparative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626"/>
        <w:gridCol w:w="2800"/>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Solution</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Cible</w:t>
            </w:r>
          </w:p>
        </w:tc>
        <w:tc>
          <w:tcPr>
            <w:tcW w:type="dxa" w:w="36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Points forts</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Limite vs notre projet</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VILOGI</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Pro / Multi-copro</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Full web SaaS, app VILOGI &amp; Me (copro+locataire+bailleur), API REST, vote AG mobile, VTI mobile, 1500 clients</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Pas de gestion native baux commerciaux complexes ni d'entités mixtes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Powimo (Seiitra)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Pro (gros volumes)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10 000 utilisateurs, Azure, OCR factures, patrimoine unifié, Datahub BI, conformité fournisseurs auto, 200 collaborateurs support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Solution très orientée marché français métropole, pas d'entités commerciales/loisirs</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SPI Syndic (Septeo)</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Pro (grand groupe)</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1,98M lots gérés, 3 200 agences, 50+ KPI, ImmAG, GED, OCR S-FACT, multi-onglets, à partir de 11920AC/mois (marché français)</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Lourd et coûteux pour un ensemble unique, pas de gestion d'entités mixtes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KEL Syndic 360 (Orisha)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Pro (toutes tailles)</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35 ans d'expérience, extranet Gérer-ma-Copro, reconnaissance factures IA, 15+ API partenaires, externalisation comptable possible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Pas de module baux commerciaux ni entités spéciales</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Matera</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Bénévole / Coopératif / Pro</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200+ experts, Zoom intégré, assurance AXA incluse, 90% tâches automatisées, renégociation contrats, plateforme moderne</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Modèle de service (syndic en ligne), pas un logiciel en propre, pas adapté à 400 lots mixtes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Coprolib'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Bénévole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700 copropriétés, 15 000 utilisateurs, outils collaboratifs, forum copro, 4€/lot/mois, support communautaire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Limité aux petites/moyennes copropriétés, pas de gestion locative ni commerciale</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Copriciel</w:t>
            </w:r>
          </w:p>
        </w:tc>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Petite copro / Bénévole</w:t>
            </w:r>
          </w:p>
        </w:tc>
        <w:tc>
          <w:tcPr>
            <w:tcW w:type="dxa" w:w="36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120€/an forfait unique, import PDF bancaire, Code CCH 2019, très économique</w:t>
            </w:r>
          </w:p>
        </w:tc>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Fonctionnalités basiques, aucune gestion locative ni commerciale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Comptacop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Bénévole / Petite copro</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À partir de 49€/an, extranet copropriétaires, comptabilité d'engagement conforme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Comptabilité uniquement, pas de gestion administrative ni d'AG complet</w:t>
            </w:r>
          </w:p>
        </w:tc>
      </w:tr>
    </w:tbl>
    <w:p>
      <w:pPr>
        <w:spacing w:after="200"/>
      </w:pPr>
    </w:p>
    <w:p>
      <w:pPr>
        <w:pStyle w:val="Heading2"/>
      </w:pPr>
      <w:r>
        <w:t xml:space="preserve">7.2 Fonctionnalités différenciantes de notre solution</w:t>
      </w:r>
    </w:p>
    <w:p>
      <w:pPr>
        <w:spacing w:after="120"/>
      </w:pPr>
      <w:r>
        <w:rPr>
          <w:rFonts w:ascii="Arial" w:cs="Arial" w:eastAsia="Arial" w:hAnsi="Arial"/>
          <w:b/>
          <w:bCs/>
          <w:color w:val="333333"/>
          <w:sz w:val="22"/>
          <w:szCs w:val="22"/>
        </w:rPr>
        <w:t xml:space="preserve">Notre solution se distingue des 8 concurrents analysés par les éléments suivants :</w:t>
      </w:r>
    </w:p>
    <w:p>
      <w:pPr>
        <w:pStyle w:val="ListParagraph"/>
        <w:numPr>
          <w:ilvl w:val="0"/>
          <w:numId w:val="2"/>
        </w:numPr>
        <w:spacing w:after="60"/>
      </w:pPr>
      <w:r>
        <w:rPr>
          <w:rFonts w:ascii="Arial" w:cs="Arial" w:eastAsia="Arial" w:hAnsi="Arial"/>
          <w:sz w:val="20"/>
          <w:szCs w:val="20"/>
        </w:rPr>
        <w:t xml:space="preserve">Gestion unifiée résidentiel + commercial + services dans une seule plateforme (aucun concurrent ne le fait)</w:t>
      </w:r>
    </w:p>
    <w:p>
      <w:pPr>
        <w:pStyle w:val="ListParagraph"/>
        <w:numPr>
          <w:ilvl w:val="0"/>
          <w:numId w:val="2"/>
        </w:numPr>
        <w:spacing w:after="60"/>
      </w:pPr>
      <w:r>
        <w:rPr>
          <w:rFonts w:ascii="Arial" w:cs="Arial" w:eastAsia="Arial" w:hAnsi="Arial"/>
          <w:sz w:val="20"/>
          <w:szCs w:val="20"/>
        </w:rPr>
        <w:t xml:space="preserve">Baux commerciaux natifs (3/6/9, ILC/ILAT) intégrés au même référentiel que les baux résidentiels</w:t>
      </w:r>
    </w:p>
    <w:p>
      <w:pPr>
        <w:pStyle w:val="ListParagraph"/>
        <w:numPr>
          <w:ilvl w:val="0"/>
          <w:numId w:val="2"/>
        </w:numPr>
        <w:spacing w:after="60"/>
      </w:pPr>
      <w:r>
        <w:rPr>
          <w:rFonts w:ascii="Arial" w:cs="Arial" w:eastAsia="Arial" w:hAnsi="Arial"/>
          <w:sz w:val="20"/>
          <w:szCs w:val="20"/>
        </w:rPr>
        <w:t xml:space="preserve">Module entités spéciales configurable (cinéma, école, salle de sport) avec règles métier propres</w:t>
      </w:r>
    </w:p>
    <w:p>
      <w:pPr>
        <w:pStyle w:val="ListParagraph"/>
        <w:numPr>
          <w:ilvl w:val="0"/>
          <w:numId w:val="2"/>
        </w:numPr>
        <w:spacing w:after="60"/>
      </w:pPr>
      <w:r>
        <w:rPr>
          <w:rFonts w:ascii="Arial" w:cs="Arial" w:eastAsia="Arial" w:hAnsi="Arial"/>
          <w:sz w:val="20"/>
          <w:szCs w:val="20"/>
        </w:rPr>
        <w:t xml:space="preserve">Triple application mobile (propriétaire, locataire, syndic) avec reconnaissance automatique du statut</w:t>
      </w:r>
    </w:p>
    <w:p>
      <w:pPr>
        <w:pStyle w:val="ListParagraph"/>
        <w:numPr>
          <w:ilvl w:val="0"/>
          <w:numId w:val="2"/>
        </w:numPr>
        <w:spacing w:after="60"/>
      </w:pPr>
      <w:r>
        <w:rPr>
          <w:rFonts w:ascii="Arial" w:cs="Arial" w:eastAsia="Arial" w:hAnsi="Arial"/>
          <w:sz w:val="20"/>
          <w:szCs w:val="20"/>
        </w:rPr>
        <w:t xml:space="preserve">API ouverte documentée pour intégration de partenaires (meilleur que VILOGI) et interopérabilité BI (comme Powimo Datahub)</w:t>
      </w:r>
    </w:p>
    <w:p>
      <w:pPr>
        <w:pStyle w:val="ListParagraph"/>
        <w:numPr>
          <w:ilvl w:val="0"/>
          <w:numId w:val="2"/>
        </w:numPr>
        <w:spacing w:after="60"/>
      </w:pPr>
      <w:r>
        <w:rPr>
          <w:rFonts w:ascii="Arial" w:cs="Arial" w:eastAsia="Arial" w:hAnsi="Arial"/>
          <w:sz w:val="20"/>
          <w:szCs w:val="20"/>
        </w:rPr>
        <w:t xml:space="preserve">Scalabilité à 400+ propriétaires avec performance garantie (SLA contractuel)</w:t>
      </w:r>
    </w:p>
    <w:p>
      <w:r>
        <w:br w:type="page"/>
      </w:r>
    </w:p>
    <w:p>
      <w:pPr>
        <w:pStyle w:val="Heading1"/>
      </w:pPr>
      <w:r>
        <w:t xml:space="preserve">8. Exigences techniques</w:t>
      </w:r>
    </w:p>
    <w:p>
      <w:pPr>
        <w:pStyle w:val="Heading2"/>
      </w:pPr>
      <w:r>
        <w:t xml:space="preserve">8.1 Architecture et stack technique</w:t>
      </w:r>
    </w:p>
    <w:p>
      <w:pPr>
        <w:spacing w:after="120"/>
      </w:pPr>
      <w:r>
        <w:rPr>
          <w:rFonts w:ascii="Arial" w:cs="Arial" w:eastAsia="Arial" w:hAnsi="Arial"/>
          <w:b/>
          <w:bCs/>
          <w:color w:val="E74C3C"/>
          <w:sz w:val="22"/>
          <w:szCs w:val="22"/>
        </w:rPr>
        <w:t xml:space="preserve">STACK IMPOSÉE PAR LE CLIENT :</w:t>
      </w:r>
    </w:p>
    <w:p>
      <w:pPr>
        <w:spacing w:after="200"/>
      </w:pPr>
    </w:p>
    <w:p>
      <w:pPr>
        <w:spacing w:after="120"/>
      </w:pPr>
      <w:r>
        <w:rPr>
          <w:rFonts w:ascii="Arial" w:cs="Arial" w:eastAsia="Arial" w:hAnsi="Arial"/>
          <w:b/>
          <w:bCs/>
          <w:color w:val="1B4F72"/>
          <w:sz w:val="22"/>
          <w:szCs w:val="22"/>
        </w:rPr>
        <w:t xml:space="preserve">BACKEND</w:t>
      </w:r>
    </w:p>
    <w:p>
      <w:pPr>
        <w:pStyle w:val="ListParagraph"/>
        <w:numPr>
          <w:ilvl w:val="0"/>
          <w:numId w:val="2"/>
        </w:numPr>
        <w:spacing w:after="60"/>
      </w:pPr>
      <w:r>
        <w:rPr>
          <w:rFonts w:ascii="Arial" w:cs="Arial" w:eastAsia="Arial" w:hAnsi="Arial"/>
          <w:sz w:val="20"/>
          <w:szCs w:val="20"/>
        </w:rPr>
        <w:t xml:space="preserve">Framework : .NET 10 (ASP.NET Core MVC)</w:t>
      </w:r>
    </w:p>
    <w:p>
      <w:pPr>
        <w:pStyle w:val="ListParagraph"/>
        <w:numPr>
          <w:ilvl w:val="0"/>
          <w:numId w:val="2"/>
        </w:numPr>
        <w:spacing w:after="60"/>
      </w:pPr>
      <w:r>
        <w:rPr>
          <w:rFonts w:ascii="Arial" w:cs="Arial" w:eastAsia="Arial" w:hAnsi="Arial"/>
          <w:sz w:val="20"/>
          <w:szCs w:val="20"/>
        </w:rPr>
        <w:t xml:space="preserve">Architecture : API-first — le backend expose 100% de ses fonctionnalités via des API REST (OpenAPI/Swagger)</w:t>
      </w:r>
    </w:p>
    <w:p>
      <w:pPr>
        <w:pStyle w:val="ListParagraph"/>
        <w:numPr>
          <w:ilvl w:val="0"/>
          <w:numId w:val="2"/>
        </w:numPr>
        <w:spacing w:after="60"/>
      </w:pPr>
      <w:r>
        <w:rPr>
          <w:rFonts w:ascii="Arial" w:cs="Arial" w:eastAsia="Arial" w:hAnsi="Arial"/>
          <w:sz w:val="20"/>
          <w:szCs w:val="20"/>
        </w:rPr>
        <w:t xml:space="preserve">Pattern MVC : Controllers → Services → Repositories</w:t>
      </w:r>
    </w:p>
    <w:p>
      <w:pPr>
        <w:pStyle w:val="ListParagraph"/>
        <w:numPr>
          <w:ilvl w:val="0"/>
          <w:numId w:val="2"/>
        </w:numPr>
        <w:spacing w:after="60"/>
      </w:pPr>
      <w:r>
        <w:rPr>
          <w:rFonts w:ascii="Arial" w:cs="Arial" w:eastAsia="Arial" w:hAnsi="Arial"/>
          <w:sz w:val="20"/>
          <w:szCs w:val="20"/>
        </w:rPr>
        <w:t xml:space="preserve">Base de données : PostgreSQL (dernière version stable)</w:t>
      </w:r>
    </w:p>
    <w:p>
      <w:pPr>
        <w:pStyle w:val="ListParagraph"/>
        <w:numPr>
          <w:ilvl w:val="0"/>
          <w:numId w:val="2"/>
        </w:numPr>
        <w:spacing w:after="60"/>
      </w:pPr>
      <w:r>
        <w:rPr>
          <w:rFonts w:ascii="Arial" w:cs="Arial" w:eastAsia="Arial" w:hAnsi="Arial"/>
          <w:sz w:val="20"/>
          <w:szCs w:val="20"/>
        </w:rPr>
        <w:t xml:space="preserve">ORM : Entity Framework Core avec migrations code-first</w:t>
      </w:r>
    </w:p>
    <w:p>
      <w:pPr>
        <w:pStyle w:val="ListParagraph"/>
        <w:numPr>
          <w:ilvl w:val="0"/>
          <w:numId w:val="2"/>
        </w:numPr>
        <w:spacing w:after="60"/>
      </w:pPr>
      <w:r>
        <w:rPr>
          <w:rFonts w:ascii="Arial" w:cs="Arial" w:eastAsia="Arial" w:hAnsi="Arial"/>
          <w:sz w:val="20"/>
          <w:szCs w:val="20"/>
        </w:rPr>
        <w:t xml:space="preserve">Authentification : ASP.NET Identity + JWT Bearer tokens + 2FA</w:t>
      </w:r>
    </w:p>
    <w:p>
      <w:pPr>
        <w:pStyle w:val="ListParagraph"/>
        <w:numPr>
          <w:ilvl w:val="0"/>
          <w:numId w:val="2"/>
        </w:numPr>
        <w:spacing w:after="60"/>
      </w:pPr>
      <w:r>
        <w:rPr>
          <w:rFonts w:ascii="Arial" w:cs="Arial" w:eastAsia="Arial" w:hAnsi="Arial"/>
          <w:sz w:val="20"/>
          <w:szCs w:val="20"/>
        </w:rPr>
        <w:t xml:space="preserve">File d'attente : RabbitMQ ou équivalent pour les traitements asynchrones (envoi emails/SMS, OCR, génération PDF)</w:t>
      </w:r>
    </w:p>
    <w:p>
      <w:pPr>
        <w:pStyle w:val="ListParagraph"/>
        <w:numPr>
          <w:ilvl w:val="0"/>
          <w:numId w:val="2"/>
        </w:numPr>
        <w:spacing w:after="60"/>
      </w:pPr>
      <w:r>
        <w:rPr>
          <w:rFonts w:ascii="Arial" w:cs="Arial" w:eastAsia="Arial" w:hAnsi="Arial"/>
          <w:sz w:val="20"/>
          <w:szCs w:val="20"/>
        </w:rPr>
        <w:t xml:space="preserve">Stockage fichiers : système de fichiers ou stockage objet (MinIO/S3-compatible) pour la GED</w:t>
      </w:r>
    </w:p>
    <w:p>
      <w:pPr>
        <w:spacing w:after="200"/>
      </w:pPr>
    </w:p>
    <w:p>
      <w:pPr>
        <w:spacing w:after="120"/>
      </w:pPr>
      <w:r>
        <w:rPr>
          <w:rFonts w:ascii="Arial" w:cs="Arial" w:eastAsia="Arial" w:hAnsi="Arial"/>
          <w:b/>
          <w:bCs/>
          <w:color w:val="1B4F72"/>
          <w:sz w:val="22"/>
          <w:szCs w:val="22"/>
        </w:rPr>
        <w:t xml:space="preserve">FRONTEND DESKTOP</w:t>
      </w:r>
    </w:p>
    <w:p>
      <w:pPr>
        <w:pStyle w:val="ListParagraph"/>
        <w:numPr>
          <w:ilvl w:val="0"/>
          <w:numId w:val="2"/>
        </w:numPr>
        <w:spacing w:after="60"/>
      </w:pPr>
      <w:r>
        <w:rPr>
          <w:rFonts w:ascii="Arial" w:cs="Arial" w:eastAsia="Arial" w:hAnsi="Arial"/>
          <w:sz w:val="20"/>
          <w:szCs w:val="20"/>
        </w:rPr>
        <w:t xml:space="preserve">ASP.NET Core MVC avec vues Razor (.cshtml) pour les écrans complexes (comptabilité, AG, paramétrage)</w:t>
      </w:r>
    </w:p>
    <w:p>
      <w:pPr>
        <w:pStyle w:val="ListParagraph"/>
        <w:numPr>
          <w:ilvl w:val="0"/>
          <w:numId w:val="2"/>
        </w:numPr>
        <w:spacing w:after="60"/>
      </w:pPr>
      <w:r>
        <w:rPr>
          <w:rFonts w:ascii="Arial" w:cs="Arial" w:eastAsia="Arial" w:hAnsi="Arial"/>
          <w:sz w:val="20"/>
          <w:szCs w:val="20"/>
        </w:rPr>
        <w:t xml:space="preserve">Razor Pages ou Razor Components si nécessaire pour les interactions riches côté serveur</w:t>
      </w:r>
    </w:p>
    <w:p>
      <w:pPr>
        <w:pStyle w:val="ListParagraph"/>
        <w:numPr>
          <w:ilvl w:val="0"/>
          <w:numId w:val="2"/>
        </w:numPr>
        <w:spacing w:after="60"/>
      </w:pPr>
      <w:r>
        <w:rPr>
          <w:rFonts w:ascii="Arial" w:cs="Arial" w:eastAsia="Arial" w:hAnsi="Arial"/>
          <w:sz w:val="20"/>
          <w:szCs w:val="20"/>
        </w:rPr>
        <w:t xml:space="preserve">JavaScript/TypeScript côté client pour les interactions dynamiques (graphiques, tableaux triables, filtres)</w:t>
      </w:r>
    </w:p>
    <w:p>
      <w:pPr>
        <w:pStyle w:val="ListParagraph"/>
        <w:numPr>
          <w:ilvl w:val="0"/>
          <w:numId w:val="2"/>
        </w:numPr>
        <w:spacing w:after="60"/>
      </w:pPr>
      <w:r>
        <w:rPr>
          <w:rFonts w:ascii="Arial" w:cs="Arial" w:eastAsia="Arial" w:hAnsi="Arial"/>
          <w:sz w:val="20"/>
          <w:szCs w:val="20"/>
        </w:rPr>
        <w:t xml:space="preserve">Librairie de graphiques : Chart.js ou équivalent intégré dans les vues Razor</w:t>
      </w:r>
    </w:p>
    <w:p>
      <w:pPr>
        <w:pStyle w:val="ListParagraph"/>
        <w:numPr>
          <w:ilvl w:val="0"/>
          <w:numId w:val="2"/>
        </w:numPr>
        <w:spacing w:after="60"/>
      </w:pPr>
      <w:r>
        <w:rPr>
          <w:rFonts w:ascii="Arial" w:cs="Arial" w:eastAsia="Arial" w:hAnsi="Arial"/>
          <w:sz w:val="20"/>
          <w:szCs w:val="20"/>
        </w:rPr>
        <w:t xml:space="preserve">Export PDF/Excel : génération côté serveur (.NET) pour les rapports, annexes et PV d'AG</w:t>
      </w:r>
    </w:p>
    <w:p>
      <w:pPr>
        <w:pStyle w:val="ListParagraph"/>
        <w:numPr>
          <w:ilvl w:val="0"/>
          <w:numId w:val="2"/>
        </w:numPr>
        <w:spacing w:after="60"/>
      </w:pPr>
      <w:r>
        <w:rPr>
          <w:rFonts w:ascii="Arial" w:cs="Arial" w:eastAsia="Arial" w:hAnsi="Arial"/>
          <w:sz w:val="20"/>
          <w:szCs w:val="20"/>
        </w:rPr>
        <w:t xml:space="preserve">Design responsive : le desktop cible les écrans ≥ 1024px de large</w:t>
      </w:r>
    </w:p>
    <w:p>
      <w:pPr>
        <w:spacing w:after="200"/>
      </w:pPr>
    </w:p>
    <w:p>
      <w:pPr>
        <w:spacing w:after="120"/>
      </w:pPr>
      <w:r>
        <w:rPr>
          <w:rFonts w:ascii="Arial" w:cs="Arial" w:eastAsia="Arial" w:hAnsi="Arial"/>
          <w:b/>
          <w:bCs/>
          <w:color w:val="1B4F72"/>
          <w:sz w:val="22"/>
          <w:szCs w:val="22"/>
        </w:rPr>
        <w:t xml:space="preserve">FRONTEND MOBILE (propriétaires, locataires, syndic terrain)</w:t>
      </w:r>
    </w:p>
    <w:p>
      <w:pPr>
        <w:pStyle w:val="ListParagraph"/>
        <w:numPr>
          <w:ilvl w:val="0"/>
          <w:numId w:val="2"/>
        </w:numPr>
        <w:spacing w:after="60"/>
      </w:pPr>
      <w:r>
        <w:rPr>
          <w:rFonts w:ascii="Arial" w:cs="Arial" w:eastAsia="Arial" w:hAnsi="Arial"/>
          <w:sz w:val="20"/>
          <w:szCs w:val="20"/>
        </w:rPr>
        <w:t xml:space="preserve">PAS D'APPLICATIONS NATIVES iOS/Android — uniquement du web responsive</w:t>
      </w:r>
    </w:p>
    <w:p>
      <w:pPr>
        <w:pStyle w:val="ListParagraph"/>
        <w:numPr>
          <w:ilvl w:val="0"/>
          <w:numId w:val="2"/>
        </w:numPr>
        <w:spacing w:after="60"/>
      </w:pPr>
      <w:r>
        <w:rPr>
          <w:rFonts w:ascii="Arial" w:cs="Arial" w:eastAsia="Arial" w:hAnsi="Arial"/>
          <w:sz w:val="20"/>
          <w:szCs w:val="20"/>
        </w:rPr>
        <w:t xml:space="preserve">Application web progressive (PWA) accessible via le navigateur mobile</w:t>
      </w:r>
    </w:p>
    <w:p>
      <w:pPr>
        <w:pStyle w:val="ListParagraph"/>
        <w:numPr>
          <w:ilvl w:val="0"/>
          <w:numId w:val="2"/>
        </w:numPr>
        <w:spacing w:after="60"/>
      </w:pPr>
      <w:r>
        <w:rPr>
          <w:rFonts w:ascii="Arial" w:cs="Arial" w:eastAsia="Arial" w:hAnsi="Arial"/>
          <w:sz w:val="20"/>
          <w:szCs w:val="20"/>
        </w:rPr>
        <w:t xml:space="preserve">Vues Razor dédiées mobile avec layout simplifié, ou API REST consommées par des composants JavaScript légers</w:t>
      </w:r>
    </w:p>
    <w:p>
      <w:pPr>
        <w:pStyle w:val="ListParagraph"/>
        <w:numPr>
          <w:ilvl w:val="0"/>
          <w:numId w:val="2"/>
        </w:numPr>
        <w:spacing w:after="60"/>
      </w:pPr>
      <w:r>
        <w:rPr>
          <w:rFonts w:ascii="Arial" w:cs="Arial" w:eastAsia="Arial" w:hAnsi="Arial"/>
          <w:sz w:val="20"/>
          <w:szCs w:val="20"/>
        </w:rPr>
        <w:t xml:space="preserve">Notifications push via Web Push API (Service Workers)</w:t>
      </w:r>
    </w:p>
    <w:p>
      <w:pPr>
        <w:pStyle w:val="ListParagraph"/>
        <w:numPr>
          <w:ilvl w:val="0"/>
          <w:numId w:val="2"/>
        </w:numPr>
        <w:spacing w:after="60"/>
      </w:pPr>
      <w:r>
        <w:rPr>
          <w:rFonts w:ascii="Arial" w:cs="Arial" w:eastAsia="Arial" w:hAnsi="Arial"/>
          <w:sz w:val="20"/>
          <w:szCs w:val="20"/>
        </w:rPr>
        <w:t xml:space="preserve">Mode hors-ligne limité : cache des dernières données consultées (KPI, fiches lots) via Service Workers</w:t>
      </w:r>
    </w:p>
    <w:p>
      <w:pPr>
        <w:pStyle w:val="ListParagraph"/>
        <w:numPr>
          <w:ilvl w:val="0"/>
          <w:numId w:val="2"/>
        </w:numPr>
        <w:spacing w:after="60"/>
      </w:pPr>
      <w:r>
        <w:rPr>
          <w:rFonts w:ascii="Arial" w:cs="Arial" w:eastAsia="Arial" w:hAnsi="Arial"/>
          <w:sz w:val="20"/>
          <w:szCs w:val="20"/>
        </w:rPr>
        <w:t xml:space="preserve">Optimisation mobile : chargement paresseux des images, pagination serveur, pas de tableaux &gt; 5 colonnes</w:t>
      </w:r>
    </w:p>
    <w:p>
      <w:pPr>
        <w:pStyle w:val="ListParagraph"/>
        <w:numPr>
          <w:ilvl w:val="0"/>
          <w:numId w:val="2"/>
        </w:numPr>
        <w:spacing w:after="60"/>
      </w:pPr>
      <w:r>
        <w:rPr>
          <w:rFonts w:ascii="Arial" w:cs="Arial" w:eastAsia="Arial" w:hAnsi="Arial"/>
          <w:sz w:val="20"/>
          <w:szCs w:val="20"/>
        </w:rPr>
        <w:t xml:space="preserve">Installable sur l'écran d'accueil (manifest PWA) sans passage par les stores</w:t>
      </w:r>
    </w:p>
    <w:p>
      <w:pPr>
        <w:spacing w:after="200"/>
      </w:pPr>
    </w:p>
    <w:p>
      <w:pPr>
        <w:spacing w:after="120"/>
      </w:pPr>
      <w:r>
        <w:rPr>
          <w:rFonts w:ascii="Arial" w:cs="Arial" w:eastAsia="Arial" w:hAnsi="Arial"/>
          <w:b/>
          <w:bCs/>
          <w:color w:val="1B4F72"/>
          <w:sz w:val="22"/>
          <w:szCs w:val="22"/>
        </w:rPr>
        <w:t xml:space="preserve">DÉPLOIEMENT ET INFRASTRUCTURE</w:t>
      </w:r>
    </w:p>
    <w:p>
      <w:pPr>
        <w:pStyle w:val="ListParagraph"/>
        <w:numPr>
          <w:ilvl w:val="0"/>
          <w:numId w:val="2"/>
        </w:numPr>
        <w:spacing w:after="60"/>
      </w:pPr>
      <w:r>
        <w:rPr>
          <w:rFonts w:ascii="Arial" w:cs="Arial" w:eastAsia="Arial" w:hAnsi="Arial"/>
          <w:sz w:val="20"/>
          <w:szCs w:val="20"/>
        </w:rPr>
        <w:t xml:space="preserve">Hébergement cloud sécurisé (Azure, AWS ou data center local CI) conforme ARTCI</w:t>
      </w:r>
    </w:p>
    <w:p>
      <w:pPr>
        <w:pStyle w:val="ListParagraph"/>
        <w:numPr>
          <w:ilvl w:val="0"/>
          <w:numId w:val="2"/>
        </w:numPr>
        <w:spacing w:after="60"/>
      </w:pPr>
      <w:r>
        <w:rPr>
          <w:rFonts w:ascii="Arial" w:cs="Arial" w:eastAsia="Arial" w:hAnsi="Arial"/>
          <w:sz w:val="20"/>
          <w:szCs w:val="20"/>
        </w:rPr>
        <w:t xml:space="preserve">Conteneurisation : Docker + orchestration Kubernetes ou Docker Compose</w:t>
      </w:r>
    </w:p>
    <w:p>
      <w:pPr>
        <w:pStyle w:val="ListParagraph"/>
        <w:numPr>
          <w:ilvl w:val="0"/>
          <w:numId w:val="2"/>
        </w:numPr>
        <w:spacing w:after="60"/>
      </w:pPr>
      <w:r>
        <w:rPr>
          <w:rFonts w:ascii="Arial" w:cs="Arial" w:eastAsia="Arial" w:hAnsi="Arial"/>
          <w:sz w:val="20"/>
          <w:szCs w:val="20"/>
        </w:rPr>
        <w:t xml:space="preserve">CI/CD : pipeline automatisé (GitHub Actions, Azure DevOps ou équivalent)</w:t>
      </w:r>
    </w:p>
    <w:p>
      <w:pPr>
        <w:pStyle w:val="ListParagraph"/>
        <w:numPr>
          <w:ilvl w:val="0"/>
          <w:numId w:val="2"/>
        </w:numPr>
        <w:spacing w:after="60"/>
      </w:pPr>
      <w:r>
        <w:rPr>
          <w:rFonts w:ascii="Arial" w:cs="Arial" w:eastAsia="Arial" w:hAnsi="Arial"/>
          <w:sz w:val="20"/>
          <w:szCs w:val="20"/>
        </w:rPr>
        <w:t xml:space="preserve">CDN pour les assets statiques (CSS, JS, images)</w:t>
      </w:r>
    </w:p>
    <w:p>
      <w:pPr>
        <w:pStyle w:val="ListParagraph"/>
        <w:numPr>
          <w:ilvl w:val="0"/>
          <w:numId w:val="2"/>
        </w:numPr>
        <w:spacing w:after="60"/>
      </w:pPr>
      <w:r>
        <w:rPr>
          <w:rFonts w:ascii="Arial" w:cs="Arial" w:eastAsia="Arial" w:hAnsi="Arial"/>
          <w:sz w:val="20"/>
          <w:szCs w:val="20"/>
        </w:rPr>
        <w:t xml:space="preserve">Reverse proxy : Nginx ou équivalent devant Kestrel (.NET)</w:t>
      </w:r>
    </w:p>
    <w:p>
      <w:pPr>
        <w:pStyle w:val="ListParagraph"/>
        <w:numPr>
          <w:ilvl w:val="0"/>
          <w:numId w:val="2"/>
        </w:numPr>
        <w:spacing w:after="60"/>
      </w:pPr>
      <w:r>
        <w:rPr>
          <w:rFonts w:ascii="Arial" w:cs="Arial" w:eastAsia="Arial" w:hAnsi="Arial"/>
          <w:sz w:val="20"/>
          <w:szCs w:val="20"/>
        </w:rPr>
        <w:t xml:space="preserve">Monitoring : Application Insights, Prometheus/Grafana ou équivalent</w:t>
      </w:r>
    </w:p>
    <w:p>
      <w:pPr>
        <w:spacing w:after="200"/>
      </w:pPr>
    </w:p>
    <w:p>
      <w:pPr>
        <w:spacing w:after="120"/>
      </w:pPr>
      <w:r>
        <w:rPr>
          <w:rFonts w:ascii="Arial" w:cs="Arial" w:eastAsia="Arial" w:hAnsi="Arial"/>
          <w:b/>
          <w:bCs/>
          <w:color w:val="1B4F72"/>
          <w:sz w:val="22"/>
          <w:szCs w:val="22"/>
        </w:rPr>
        <w:t xml:space="preserve">PRINCIPES ARCHITECTURAUX</w:t>
      </w:r>
    </w:p>
    <w:p>
      <w:pPr>
        <w:pStyle w:val="ListParagraph"/>
        <w:numPr>
          <w:ilvl w:val="0"/>
          <w:numId w:val="2"/>
        </w:numPr>
        <w:spacing w:after="60"/>
      </w:pPr>
      <w:r>
        <w:rPr>
          <w:rFonts w:ascii="Arial" w:cs="Arial" w:eastAsia="Arial" w:hAnsi="Arial"/>
          <w:sz w:val="20"/>
          <w:szCs w:val="20"/>
        </w:rPr>
        <w:t xml:space="preserve">API-first : chaque fonctionnalité est d'abord une API, le frontend (Razor ou mobile) la consomme</w:t>
      </w:r>
    </w:p>
    <w:p>
      <w:pPr>
        <w:pStyle w:val="ListParagraph"/>
        <w:numPr>
          <w:ilvl w:val="0"/>
          <w:numId w:val="2"/>
        </w:numPr>
        <w:spacing w:after="60"/>
      </w:pPr>
      <w:r>
        <w:rPr>
          <w:rFonts w:ascii="Arial" w:cs="Arial" w:eastAsia="Arial" w:hAnsi="Arial"/>
          <w:sz w:val="20"/>
          <w:szCs w:val="20"/>
        </w:rPr>
        <w:t xml:space="preserve">Multi-tenant : une seule instance dessert les copropriétés horizontale et verticales avec isolation des données</w:t>
      </w:r>
    </w:p>
    <w:p>
      <w:pPr>
        <w:pStyle w:val="ListParagraph"/>
        <w:numPr>
          <w:ilvl w:val="0"/>
          <w:numId w:val="2"/>
        </w:numPr>
        <w:spacing w:after="60"/>
      </w:pPr>
      <w:r>
        <w:rPr>
          <w:rFonts w:ascii="Arial" w:cs="Arial" w:eastAsia="Arial" w:hAnsi="Arial"/>
          <w:sz w:val="20"/>
          <w:szCs w:val="20"/>
        </w:rPr>
        <w:t xml:space="preserve">Séparation claire des couches : API Controllers / Business Services / Data Repositories / Domain Models</w:t>
      </w:r>
    </w:p>
    <w:p>
      <w:pPr>
        <w:pStyle w:val="ListParagraph"/>
        <w:numPr>
          <w:ilvl w:val="0"/>
          <w:numId w:val="2"/>
        </w:numPr>
        <w:spacing w:after="60"/>
      </w:pPr>
      <w:r>
        <w:rPr>
          <w:rFonts w:ascii="Arial" w:cs="Arial" w:eastAsia="Arial" w:hAnsi="Arial"/>
          <w:sz w:val="20"/>
          <w:szCs w:val="20"/>
        </w:rPr>
        <w:t xml:space="preserve">Versioning des API : préfixe /api/v1/ pour garantir la rétrocompatibilité</w:t>
      </w:r>
    </w:p>
    <w:p>
      <w:pPr>
        <w:pStyle w:val="ListParagraph"/>
        <w:numPr>
          <w:ilvl w:val="0"/>
          <w:numId w:val="2"/>
        </w:numPr>
        <w:spacing w:after="60"/>
      </w:pPr>
      <w:r>
        <w:rPr>
          <w:rFonts w:ascii="Arial" w:cs="Arial" w:eastAsia="Arial" w:hAnsi="Arial"/>
          <w:sz w:val="20"/>
          <w:szCs w:val="20"/>
        </w:rPr>
        <w:t xml:space="preserve">Documentation Swagger/OpenAPI auto-générée et accessible aux développeurs tiers</w:t>
      </w:r>
    </w:p>
    <w:p>
      <w:pPr>
        <w:pStyle w:val="Heading2"/>
      </w:pPr>
      <w:r>
        <w:t xml:space="preserve">8.2 Sécurité et RGPD</w:t>
      </w:r>
    </w:p>
    <w:p>
      <w:pPr>
        <w:pStyle w:val="ListParagraph"/>
        <w:numPr>
          <w:ilvl w:val="0"/>
          <w:numId w:val="2"/>
        </w:numPr>
        <w:spacing w:after="60"/>
      </w:pPr>
      <w:r>
        <w:rPr>
          <w:rFonts w:ascii="Arial" w:cs="Arial" w:eastAsia="Arial" w:hAnsi="Arial"/>
          <w:sz w:val="20"/>
          <w:szCs w:val="20"/>
        </w:rPr>
        <w:t xml:space="preserve">Authentification forte : SSO, 2FA, OAuth 2.0 (conformité Loi 2013-451 cybercriminalité)</w:t>
      </w:r>
    </w:p>
    <w:p>
      <w:pPr>
        <w:pStyle w:val="ListParagraph"/>
        <w:numPr>
          <w:ilvl w:val="0"/>
          <w:numId w:val="2"/>
        </w:numPr>
        <w:spacing w:after="60"/>
      </w:pPr>
      <w:r>
        <w:rPr>
          <w:rFonts w:ascii="Arial" w:cs="Arial" w:eastAsia="Arial" w:hAnsi="Arial"/>
          <w:sz w:val="20"/>
          <w:szCs w:val="20"/>
        </w:rPr>
        <w:t xml:space="preserve">Chiffrement des données au repos (AES-256) et en transit (TLS 1.3)</w:t>
      </w:r>
    </w:p>
    <w:p>
      <w:pPr>
        <w:pStyle w:val="ListParagraph"/>
        <w:numPr>
          <w:ilvl w:val="0"/>
          <w:numId w:val="2"/>
        </w:numPr>
        <w:spacing w:after="60"/>
      </w:pPr>
      <w:r>
        <w:rPr>
          <w:rFonts w:ascii="Arial" w:cs="Arial" w:eastAsia="Arial" w:hAnsi="Arial"/>
          <w:sz w:val="20"/>
          <w:szCs w:val="20"/>
        </w:rPr>
        <w:t xml:space="preserve">Gestion granulaire des droits : rôles (syndic, comptable, gestionnaire, lecture seule)</w:t>
      </w:r>
    </w:p>
    <w:p>
      <w:pPr>
        <w:pStyle w:val="ListParagraph"/>
        <w:numPr>
          <w:ilvl w:val="0"/>
          <w:numId w:val="2"/>
        </w:numPr>
        <w:spacing w:after="60"/>
      </w:pPr>
      <w:r>
        <w:rPr>
          <w:rFonts w:ascii="Arial" w:cs="Arial" w:eastAsia="Arial" w:hAnsi="Arial"/>
          <w:sz w:val="20"/>
          <w:szCs w:val="20"/>
        </w:rPr>
        <w:t xml:space="preserve">Journal d'audit complet de toutes les actions</w:t>
      </w:r>
    </w:p>
    <w:p>
      <w:pPr>
        <w:pStyle w:val="ListParagraph"/>
        <w:numPr>
          <w:ilvl w:val="0"/>
          <w:numId w:val="2"/>
        </w:numPr>
        <w:spacing w:after="60"/>
      </w:pPr>
      <w:r>
        <w:rPr>
          <w:rFonts w:ascii="Arial" w:cs="Arial" w:eastAsia="Arial" w:hAnsi="Arial"/>
          <w:sz w:val="20"/>
          <w:szCs w:val="20"/>
        </w:rPr>
        <w:t xml:space="preserve">Conformité Loi 2013-450 (ARTCI) : déclaration préalable, droit d'accès, rectification, opposition, sécurité des données</w:t>
      </w:r>
    </w:p>
    <w:p>
      <w:pPr>
        <w:pStyle w:val="ListParagraph"/>
        <w:numPr>
          <w:ilvl w:val="0"/>
          <w:numId w:val="2"/>
        </w:numPr>
        <w:spacing w:after="60"/>
      </w:pPr>
      <w:r>
        <w:rPr>
          <w:rFonts w:ascii="Arial" w:cs="Arial" w:eastAsia="Arial" w:hAnsi="Arial"/>
          <w:sz w:val="20"/>
          <w:szCs w:val="20"/>
        </w:rPr>
        <w:t xml:space="preserve">Correspondant à la protection des données désigné auprès de l'ARTCI (arrêté 0099/MTND/CAB)</w:t>
      </w:r>
    </w:p>
    <w:p>
      <w:pPr>
        <w:pStyle w:val="ListParagraph"/>
        <w:numPr>
          <w:ilvl w:val="0"/>
          <w:numId w:val="2"/>
        </w:numPr>
        <w:spacing w:after="60"/>
      </w:pPr>
      <w:r>
        <w:rPr>
          <w:rFonts w:ascii="Arial" w:cs="Arial" w:eastAsia="Arial" w:hAnsi="Arial"/>
          <w:sz w:val="20"/>
          <w:szCs w:val="20"/>
        </w:rPr>
        <w:t xml:space="preserve">Sauvegardes automatiques quotidiennes avec rétention 12 mois</w:t>
      </w:r>
    </w:p>
    <w:p>
      <w:pPr>
        <w:pStyle w:val="ListParagraph"/>
        <w:numPr>
          <w:ilvl w:val="0"/>
          <w:numId w:val="2"/>
        </w:numPr>
        <w:spacing w:after="60"/>
      </w:pPr>
      <w:r>
        <w:rPr>
          <w:rFonts w:ascii="Arial" w:cs="Arial" w:eastAsia="Arial" w:hAnsi="Arial"/>
          <w:sz w:val="20"/>
          <w:szCs w:val="20"/>
        </w:rPr>
        <w:t xml:space="preserve">Plan de reprise d'activité (PRA) avec RPO &lt; 1h et RTO &lt; 4h</w:t>
      </w:r>
    </w:p>
    <w:p>
      <w:pPr>
        <w:pStyle w:val="Heading2"/>
      </w:pPr>
      <w:r>
        <w:t xml:space="preserve">8.3 Performance et SLA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Indicateur</w:t>
            </w:r>
          </w:p>
        </w:tc>
        <w:tc>
          <w:tcPr>
            <w:tcW w:type="dxa" w:w="3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Objectif</w:t>
            </w:r>
          </w:p>
        </w:tc>
        <w:tc>
          <w:tcPr>
            <w:tcW w:type="dxa" w:w="30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Mesure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Disponibilité</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99,9%</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Monitoring 24/7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Temps de réponse pages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&lt; 2 secondes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P95</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Temps de réponse API</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&lt; 500 ms</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P95</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Utilisateurs simultanés</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&gt; 500</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Test de charge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Capacité lots</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&gt; 5 000 lots</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Sans dégradation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Sauvegarde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Quotidienne</w:t>
            </w:r>
          </w:p>
        </w:tc>
        <w:tc>
          <w:tcPr>
            <w:tcW w:type="dxa" w:w="30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Rétention 12 mois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Mise à jour</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Sans interruption</w:t>
            </w:r>
          </w:p>
        </w:tc>
        <w:tc>
          <w:tcPr>
            <w:tcW w:type="dxa" w:w="30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Déploiement continu</w:t>
            </w:r>
          </w:p>
        </w:tc>
      </w:tr>
    </w:tbl>
    <w:p>
      <w:pPr>
        <w:spacing w:after="200"/>
      </w:pPr>
    </w:p>
    <w:p>
      <w:pPr>
        <w:pStyle w:val="Heading2"/>
      </w:pPr>
      <w:r>
        <w:t xml:space="preserve">8.4 Intégrations</w:t>
      </w:r>
    </w:p>
    <w:p>
      <w:pPr>
        <w:pStyle w:val="ListParagraph"/>
        <w:numPr>
          <w:ilvl w:val="0"/>
          <w:numId w:val="2"/>
        </w:numPr>
        <w:spacing w:after="60"/>
      </w:pPr>
      <w:r>
        <w:rPr>
          <w:rFonts w:ascii="Arial" w:cs="Arial" w:eastAsia="Arial" w:hAnsi="Arial"/>
          <w:sz w:val="20"/>
          <w:szCs w:val="20"/>
        </w:rPr>
        <w:t xml:space="preserve">Banques : virements UEMOA/BCEAO, mobile money (Orange Money, MTN Money, Wave, Moov Money), rapprochement automatique</w:t>
      </w:r>
    </w:p>
    <w:p>
      <w:pPr>
        <w:pStyle w:val="ListParagraph"/>
        <w:numPr>
          <w:ilvl w:val="0"/>
          <w:numId w:val="2"/>
        </w:numPr>
        <w:spacing w:after="60"/>
      </w:pPr>
      <w:r>
        <w:rPr>
          <w:rFonts w:ascii="Arial" w:cs="Arial" w:eastAsia="Arial" w:hAnsi="Arial"/>
          <w:sz w:val="20"/>
          <w:szCs w:val="20"/>
        </w:rPr>
        <w:t xml:space="preserve">Comptabilité : export FEC, interface avec les logiciels comptables standards</w:t>
      </w:r>
    </w:p>
    <w:p>
      <w:pPr>
        <w:pStyle w:val="ListParagraph"/>
        <w:numPr>
          <w:ilvl w:val="0"/>
          <w:numId w:val="2"/>
        </w:numPr>
        <w:spacing w:after="60"/>
      </w:pPr>
      <w:r>
        <w:rPr>
          <w:rFonts w:ascii="Arial" w:cs="Arial" w:eastAsia="Arial" w:hAnsi="Arial"/>
          <w:sz w:val="20"/>
          <w:szCs w:val="20"/>
        </w:rPr>
        <w:t xml:space="preserve">Courrier : intégration La Poste de Côte d'Ivoire et services de notification électronique</w:t>
      </w:r>
    </w:p>
    <w:p>
      <w:pPr>
        <w:pStyle w:val="ListParagraph"/>
        <w:numPr>
          <w:ilvl w:val="0"/>
          <w:numId w:val="2"/>
        </w:numPr>
        <w:spacing w:after="60"/>
      </w:pPr>
      <w:r>
        <w:rPr>
          <w:rFonts w:ascii="Arial" w:cs="Arial" w:eastAsia="Arial" w:hAnsi="Arial"/>
          <w:sz w:val="20"/>
          <w:szCs w:val="20"/>
        </w:rPr>
        <w:t xml:space="preserve">Signature électronique : DocuSign, Yousign ou équivalent</w:t>
      </w:r>
    </w:p>
    <w:p>
      <w:pPr>
        <w:pStyle w:val="ListParagraph"/>
        <w:numPr>
          <w:ilvl w:val="0"/>
          <w:numId w:val="2"/>
        </w:numPr>
        <w:spacing w:after="60"/>
      </w:pPr>
      <w:r>
        <w:rPr>
          <w:rFonts w:ascii="Arial" w:cs="Arial" w:eastAsia="Arial" w:hAnsi="Arial"/>
          <w:sz w:val="20"/>
          <w:szCs w:val="20"/>
        </w:rPr>
        <w:t xml:space="preserve">Visioconférence : Zoom, Teams ou module intégré pour les AG</w:t>
      </w:r>
    </w:p>
    <w:p>
      <w:pPr>
        <w:pStyle w:val="ListParagraph"/>
        <w:numPr>
          <w:ilvl w:val="0"/>
          <w:numId w:val="2"/>
        </w:numPr>
        <w:spacing w:after="60"/>
      </w:pPr>
      <w:r>
        <w:rPr>
          <w:rFonts w:ascii="Arial" w:cs="Arial" w:eastAsia="Arial" w:hAnsi="Arial"/>
          <w:sz w:val="20"/>
          <w:szCs w:val="20"/>
        </w:rPr>
        <w:t xml:space="preserve">OCR/IA : reconnaissance de factures avec apprentissage continu</w:t>
      </w:r>
    </w:p>
    <w:p>
      <w:pPr>
        <w:pStyle w:val="ListParagraph"/>
        <w:numPr>
          <w:ilvl w:val="0"/>
          <w:numId w:val="2"/>
        </w:numPr>
        <w:spacing w:after="60"/>
      </w:pPr>
      <w:r>
        <w:rPr>
          <w:rFonts w:ascii="Arial" w:cs="Arial" w:eastAsia="Arial" w:hAnsi="Arial"/>
          <w:sz w:val="20"/>
          <w:szCs w:val="20"/>
        </w:rPr>
        <w:t xml:space="preserve">Paiement en ligne : mobile money (Orange Money, MTN, Wave), CinetPay, PayDunya ou équivalent</w:t>
      </w:r>
    </w:p>
    <w:p>
      <w:pPr>
        <w:pStyle w:val="ListParagraph"/>
        <w:numPr>
          <w:ilvl w:val="0"/>
          <w:numId w:val="2"/>
        </w:numPr>
        <w:spacing w:after="60"/>
      </w:pPr>
      <w:r>
        <w:rPr>
          <w:rFonts w:ascii="Arial" w:cs="Arial" w:eastAsia="Arial" w:hAnsi="Arial"/>
          <w:sz w:val="20"/>
          <w:szCs w:val="20"/>
        </w:rPr>
        <w:t xml:space="preserve">Calendrier : synchronisation Google Calendar et Outlook</w:t>
      </w:r>
    </w:p>
    <w:p>
      <w:pPr>
        <w:pStyle w:val="ListParagraph"/>
        <w:numPr>
          <w:ilvl w:val="0"/>
          <w:numId w:val="2"/>
        </w:numPr>
        <w:spacing w:after="60"/>
      </w:pPr>
      <w:r>
        <w:rPr>
          <w:rFonts w:ascii="Arial" w:cs="Arial" w:eastAsia="Arial" w:hAnsi="Arial"/>
          <w:sz w:val="20"/>
          <w:szCs w:val="20"/>
        </w:rPr>
        <w:t xml:space="preserve">GED : stockage et indexation des documents avec recherche full-text</w:t>
      </w:r>
    </w:p>
    <w:p>
      <w:r>
        <w:br w:type="page"/>
      </w:r>
    </w:p>
    <w:p>
      <w:pPr>
        <w:pStyle w:val="Heading2"/>
      </w:pPr>
      <w:r>
        <w:t xml:space="preserve">8.5 Interopérabilité, import/export et API ouvertes</w:t>
      </w:r>
    </w:p>
    <w:p>
      <w:pPr>
        <w:spacing w:after="120"/>
      </w:pPr>
      <w:r>
        <w:rPr>
          <w:rFonts w:ascii="Arial" w:cs="Arial" w:eastAsia="Arial" w:hAnsi="Arial"/>
          <w:b/>
          <w:bCs/>
          <w:color w:val="333333"/>
          <w:sz w:val="22"/>
          <w:szCs w:val="22"/>
        </w:rPr>
        <w:t xml:space="preserve">CONTEXTE : des entités de grande taille présentes dans l'ensemble (centre commercial COSMOS, clinique Novamed, Afrika Banque, enseigne Super U, etc.) disposent souvent de leurs propres systèmes de gestion (ERP, comptabilité, CRM). GreenSyndic ne doit pas les forcer à abandonner leurs outils, mais coexister avec eux via des échanges de données normalisés.</w:t>
      </w:r>
    </w:p>
    <w:p>
      <w:pPr>
        <w:spacing w:after="200"/>
      </w:pPr>
    </w:p>
    <w:p>
      <w:pPr>
        <w:spacing w:after="120"/>
      </w:pPr>
      <w:r>
        <w:rPr>
          <w:rFonts w:ascii="Arial" w:cs="Arial" w:eastAsia="Arial" w:hAnsi="Arial"/>
          <w:b/>
          <w:bCs/>
          <w:color w:val="1B4F72"/>
          <w:sz w:val="22"/>
          <w:szCs w:val="22"/>
        </w:rPr>
        <w:t xml:space="preserve">8.5.1 Import/Export Excel — Fonctionnel sur tous les modules</w:t>
      </w:r>
    </w:p>
    <w:p>
      <w:pPr>
        <w:spacing w:after="120"/>
      </w:pPr>
      <w:r>
        <w:rPr>
          <w:rFonts w:ascii="Arial" w:cs="Arial" w:eastAsia="Arial" w:hAnsi="Arial"/>
          <w:color w:val="333333"/>
          <w:sz w:val="22"/>
          <w:szCs w:val="22"/>
        </w:rPr>
        <w:t xml:space="preserve">Chaque liste, tableau et état du système dispose de boutons [Exporter Excel] et [Importer Excel]. Les fichiers Excel servent de format d'échange universel avec les systèmes tiers.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Module</w:t>
            </w:r>
          </w:p>
        </w:tc>
        <w:tc>
          <w:tcPr>
            <w:tcW w:type="dxa" w:w="34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Export Excel</w:t>
            </w:r>
          </w:p>
        </w:tc>
        <w:tc>
          <w:tcPr>
            <w:tcW w:type="dxa" w:w="34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Import Excel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Lots / Patrimoine</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complète des lots avec surfaces, tantièmes, propriétaires, statut</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en masse de lots (création initiale ou mise à jour)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Copropriétaires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Annuaire complet ou filtré, avec soldes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initial des copropriétaires et lots associés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Locataires</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locataires, baux, loyers, soldes</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de locataires depuis un système de gestion locative externe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Comptabilité</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Grand livre, balance, journal, FEC, annexes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d'écritures comptables depuis un ERP tiers (COSMOS, Novamed...)</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Appels de fonds</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Historique des appels émis avec statut encaissement</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d'encaissements depuis un relevé bancaire ou système de paiement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Charges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Détail des charges par copropriété, poste, période</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de factures fournisseurs en masse (CSV/Excel)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Baux commerciaux</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baux avec loyers, indices, échéances, enseignes</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depuis le système de gestion du centre commercial (COSMOS)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Impayés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des impayés avec ancienneté et montants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Incidents / Travaux</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incidents avec statut, coût, prestataire</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d'ordres de service depuis un GMAO externe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Budget prévisionnel</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Budget par poste et par copropriété</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d'un budget préparé sur Excel</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Relevés de compteurs</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Historique relevés eau, électricité, gaz</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en masse des relevés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AG — Résolutions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des résolutions avec résultats des votes</w:t>
            </w:r>
          </w:p>
        </w:tc>
        <w:tc>
          <w:tcPr>
            <w:tcW w:type="dxa" w:w="34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Annuaire prestataires</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Liste fournisseurs avec évaluation et conformité</w:t>
            </w:r>
          </w:p>
        </w:tc>
        <w:tc>
          <w:tcPr>
            <w:tcW w:type="dxa" w:w="34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Import d'un fichier fournisseurs</w:t>
            </w:r>
          </w:p>
        </w:tc>
      </w:tr>
    </w:tbl>
    <w:p>
      <w:pPr>
        <w:spacing w:after="200"/>
      </w:pPr>
    </w:p>
    <w:p>
      <w:pPr>
        <w:spacing w:after="120"/>
      </w:pPr>
      <w:r>
        <w:rPr>
          <w:rFonts w:ascii="Arial" w:cs="Arial" w:eastAsia="Arial" w:hAnsi="Arial"/>
          <w:b/>
          <w:bCs/>
          <w:color w:val="333333"/>
          <w:sz w:val="22"/>
          <w:szCs w:val="22"/>
        </w:rPr>
        <w:t xml:space="preserve">Règles d'import :</w:t>
      </w:r>
    </w:p>
    <w:p>
      <w:pPr>
        <w:pStyle w:val="ListParagraph"/>
        <w:numPr>
          <w:ilvl w:val="0"/>
          <w:numId w:val="2"/>
        </w:numPr>
        <w:spacing w:after="60"/>
      </w:pPr>
      <w:r>
        <w:rPr>
          <w:rFonts w:ascii="Arial" w:cs="Arial" w:eastAsia="Arial" w:hAnsi="Arial"/>
          <w:sz w:val="20"/>
          <w:szCs w:val="20"/>
        </w:rPr>
        <w:t xml:space="preserve">Modèles Excel téléchargeables : pour chaque type d'import, un fichier modèle (.xlsx) avec en-têtes, colonnes attendues, formats de données et exemples est téléchargeable</w:t>
      </w:r>
    </w:p>
    <w:p>
      <w:pPr>
        <w:pStyle w:val="ListParagraph"/>
        <w:numPr>
          <w:ilvl w:val="0"/>
          <w:numId w:val="2"/>
        </w:numPr>
        <w:spacing w:after="60"/>
      </w:pPr>
      <w:r>
        <w:rPr>
          <w:rFonts w:ascii="Arial" w:cs="Arial" w:eastAsia="Arial" w:hAnsi="Arial"/>
          <w:sz w:val="20"/>
          <w:szCs w:val="20"/>
        </w:rPr>
        <w:t xml:space="preserve">Validation avant import : GreenSyndic analyse le fichier, détecte les erreurs (formats, doublons, données manquantes) et affiche un rapport de pré-import</w:t>
      </w:r>
    </w:p>
    <w:p>
      <w:pPr>
        <w:pStyle w:val="ListParagraph"/>
        <w:numPr>
          <w:ilvl w:val="0"/>
          <w:numId w:val="2"/>
        </w:numPr>
        <w:spacing w:after="60"/>
      </w:pPr>
      <w:r>
        <w:rPr>
          <w:rFonts w:ascii="Arial" w:cs="Arial" w:eastAsia="Arial" w:hAnsi="Arial"/>
          <w:sz w:val="20"/>
          <w:szCs w:val="20"/>
        </w:rPr>
        <w:t xml:space="preserve">Import en mode simulation : l'utilisateur peut lancer un import « à blanc » pour voir les résultats sans modifier la base</w:t>
      </w:r>
    </w:p>
    <w:p>
      <w:pPr>
        <w:pStyle w:val="ListParagraph"/>
        <w:numPr>
          <w:ilvl w:val="0"/>
          <w:numId w:val="2"/>
        </w:numPr>
        <w:spacing w:after="60"/>
      </w:pPr>
      <w:r>
        <w:rPr>
          <w:rFonts w:ascii="Arial" w:cs="Arial" w:eastAsia="Arial" w:hAnsi="Arial"/>
          <w:sz w:val="20"/>
          <w:szCs w:val="20"/>
        </w:rPr>
        <w:t xml:space="preserve">Import incrémental : possibilité de mettre à jour les enregistrements existants ou de n'ajouter que les nouveaux</w:t>
      </w:r>
    </w:p>
    <w:p>
      <w:pPr>
        <w:pStyle w:val="ListParagraph"/>
        <w:numPr>
          <w:ilvl w:val="0"/>
          <w:numId w:val="2"/>
        </w:numPr>
        <w:spacing w:after="60"/>
      </w:pPr>
      <w:r>
        <w:rPr>
          <w:rFonts w:ascii="Arial" w:cs="Arial" w:eastAsia="Arial" w:hAnsi="Arial"/>
          <w:sz w:val="20"/>
          <w:szCs w:val="20"/>
        </w:rPr>
        <w:t xml:space="preserve">Journal d'import : chaque import est tracé (date, utilisateur, fichier source, nombre de lignes, erreurs, résultat)</w:t>
      </w:r>
    </w:p>
    <w:p>
      <w:pPr>
        <w:pStyle w:val="ListParagraph"/>
        <w:numPr>
          <w:ilvl w:val="0"/>
          <w:numId w:val="2"/>
        </w:numPr>
        <w:spacing w:after="60"/>
      </w:pPr>
      <w:r>
        <w:rPr>
          <w:rFonts w:ascii="Arial" w:cs="Arial" w:eastAsia="Arial" w:hAnsi="Arial"/>
          <w:sz w:val="20"/>
          <w:szCs w:val="20"/>
        </w:rPr>
        <w:t xml:space="preserve">Encodage : UTF-8 obligatoire, séparateur configurable (virgule, point-virgule, tabulation)</w:t>
      </w:r>
    </w:p>
    <w:p>
      <w:pPr>
        <w:spacing w:after="200"/>
      </w:pPr>
    </w:p>
    <w:p>
      <w:pPr>
        <w:spacing w:after="120"/>
      </w:pPr>
      <w:r>
        <w:rPr>
          <w:rFonts w:ascii="Arial" w:cs="Arial" w:eastAsia="Arial" w:hAnsi="Arial"/>
          <w:b/>
          <w:bCs/>
          <w:color w:val="1B4F72"/>
          <w:sz w:val="22"/>
          <w:szCs w:val="22"/>
        </w:rPr>
        <w:t xml:space="preserve">8.5.2 API REST ouvertes — Swagger/OpenAPI</w:t>
      </w:r>
    </w:p>
    <w:p>
      <w:pPr>
        <w:spacing w:after="120"/>
      </w:pPr>
      <w:r>
        <w:rPr>
          <w:rFonts w:ascii="Arial" w:cs="Arial" w:eastAsia="Arial" w:hAnsi="Arial"/>
          <w:color w:val="333333"/>
          <w:sz w:val="22"/>
          <w:szCs w:val="22"/>
        </w:rPr>
        <w:t xml:space="preserve">GreenSyndic expose 100% de ses fonctionnalités via des API REST documentées (cf. section 8.1 Architecture). Ces API permettent aux systèmes tiers de lire et écrire des données de manière programmatique, en temps réel.</w:t>
      </w:r>
    </w:p>
    <w:p>
      <w:pPr>
        <w:spacing w:after="200"/>
      </w:pPr>
    </w:p>
    <w:p>
      <w:pPr>
        <w:spacing w:after="120"/>
      </w:pPr>
      <w:r>
        <w:rPr>
          <w:rFonts w:ascii="Arial" w:cs="Arial" w:eastAsia="Arial" w:hAnsi="Arial"/>
          <w:b/>
          <w:bCs/>
          <w:color w:val="333333"/>
          <w:sz w:val="22"/>
          <w:szCs w:val="22"/>
        </w:rPr>
        <w:t xml:space="preserve">Cas d'usage concrets :</w:t>
      </w:r>
    </w:p>
    <w:p>
      <w:pPr>
        <w:pStyle w:val="ListParagraph"/>
        <w:numPr>
          <w:ilvl w:val="0"/>
          <w:numId w:val="2"/>
        </w:numPr>
        <w:spacing w:after="60"/>
      </w:pPr>
      <w:r>
        <w:rPr>
          <w:rFonts w:ascii="Arial" w:cs="Arial" w:eastAsia="Arial" w:hAnsi="Arial"/>
          <w:sz w:val="20"/>
          <w:szCs w:val="20"/>
        </w:rPr>
        <w:t xml:space="preserve">COSMOS Bassam (centre commercial) : le système de gestion du mall peut pousser ses factures de charges vers GreenSyndic via API, et récupérer les appels de fonds/quittances</w:t>
      </w:r>
    </w:p>
    <w:p>
      <w:pPr>
        <w:pStyle w:val="ListParagraph"/>
        <w:numPr>
          <w:ilvl w:val="0"/>
          <w:numId w:val="2"/>
        </w:numPr>
        <w:spacing w:after="60"/>
      </w:pPr>
      <w:r>
        <w:rPr>
          <w:rFonts w:ascii="Arial" w:cs="Arial" w:eastAsia="Arial" w:hAnsi="Arial"/>
          <w:sz w:val="20"/>
          <w:szCs w:val="20"/>
        </w:rPr>
        <w:t xml:space="preserve">Super U / enseignes retail : synchronisation automatique des encaissements de loyer depuis leur ERP vers GreenSyndic</w:t>
      </w:r>
    </w:p>
    <w:p>
      <w:pPr>
        <w:pStyle w:val="ListParagraph"/>
        <w:numPr>
          <w:ilvl w:val="0"/>
          <w:numId w:val="2"/>
        </w:numPr>
        <w:spacing w:after="60"/>
      </w:pPr>
      <w:r>
        <w:rPr>
          <w:rFonts w:ascii="Arial" w:cs="Arial" w:eastAsia="Arial" w:hAnsi="Arial"/>
          <w:sz w:val="20"/>
          <w:szCs w:val="20"/>
        </w:rPr>
        <w:t xml:space="preserve">Clinique Novamed : échange de données de facturation des charges spécifiques (déchets médicaux, énergie)</w:t>
      </w:r>
    </w:p>
    <w:p>
      <w:pPr>
        <w:pStyle w:val="ListParagraph"/>
        <w:numPr>
          <w:ilvl w:val="0"/>
          <w:numId w:val="2"/>
        </w:numPr>
        <w:spacing w:after="60"/>
      </w:pPr>
      <w:r>
        <w:rPr>
          <w:rFonts w:ascii="Arial" w:cs="Arial" w:eastAsia="Arial" w:hAnsi="Arial"/>
          <w:sz w:val="20"/>
          <w:szCs w:val="20"/>
        </w:rPr>
        <w:t xml:space="preserve">Afrika Banque : interface sécurisée pour la réconciliation des paiements et virements</w:t>
      </w:r>
    </w:p>
    <w:p>
      <w:pPr>
        <w:pStyle w:val="ListParagraph"/>
        <w:numPr>
          <w:ilvl w:val="0"/>
          <w:numId w:val="2"/>
        </w:numPr>
        <w:spacing w:after="60"/>
      </w:pPr>
      <w:r>
        <w:rPr>
          <w:rFonts w:ascii="Arial" w:cs="Arial" w:eastAsia="Arial" w:hAnsi="Arial"/>
          <w:sz w:val="20"/>
          <w:szCs w:val="20"/>
        </w:rPr>
        <w:t xml:space="preserve">Station Oryx : remontée automatique des redevances et charges concession</w:t>
      </w:r>
    </w:p>
    <w:p>
      <w:pPr>
        <w:pStyle w:val="ListParagraph"/>
        <w:numPr>
          <w:ilvl w:val="0"/>
          <w:numId w:val="2"/>
        </w:numPr>
        <w:spacing w:after="60"/>
      </w:pPr>
      <w:r>
        <w:rPr>
          <w:rFonts w:ascii="Arial" w:cs="Arial" w:eastAsia="Arial" w:hAnsi="Arial"/>
          <w:sz w:val="20"/>
          <w:szCs w:val="20"/>
        </w:rPr>
        <w:t xml:space="preserve">ISIS Immobilier / H&amp;A Immobilier (syndics) : si le syndic professionnel utilise déjà un outil, GreenSyndic peut s'y connecter en API</w:t>
      </w:r>
    </w:p>
    <w:p>
      <w:pPr>
        <w:pStyle w:val="ListParagraph"/>
        <w:numPr>
          <w:ilvl w:val="0"/>
          <w:numId w:val="2"/>
        </w:numPr>
        <w:spacing w:after="60"/>
      </w:pPr>
      <w:r>
        <w:rPr>
          <w:rFonts w:ascii="Arial" w:cs="Arial" w:eastAsia="Arial" w:hAnsi="Arial"/>
          <w:sz w:val="20"/>
          <w:szCs w:val="20"/>
        </w:rPr>
        <w:t xml:space="preserve">Banques partenaires (prêts acquéreurs) : échange de données sur l'avancement des paiements VEFA</w:t>
      </w:r>
    </w:p>
    <w:p>
      <w:pPr>
        <w:pStyle w:val="ListParagraph"/>
        <w:numPr>
          <w:ilvl w:val="0"/>
          <w:numId w:val="2"/>
        </w:numPr>
        <w:spacing w:after="60"/>
      </w:pPr>
      <w:r>
        <w:rPr>
          <w:rFonts w:ascii="Arial" w:cs="Arial" w:eastAsia="Arial" w:hAnsi="Arial"/>
          <w:sz w:val="20"/>
          <w:szCs w:val="20"/>
        </w:rPr>
        <w:t xml:space="preserve">DGI (impôts) : export automatique des données fiscales au format requis</w:t>
      </w:r>
    </w:p>
    <w:p>
      <w:pPr>
        <w:spacing w:after="200"/>
      </w:pPr>
    </w:p>
    <w:p>
      <w:pPr>
        <w:spacing w:after="120"/>
      </w:pPr>
      <w:r>
        <w:rPr>
          <w:rFonts w:ascii="Arial" w:cs="Arial" w:eastAsia="Arial" w:hAnsi="Arial"/>
          <w:b/>
          <w:bCs/>
          <w:color w:val="333333"/>
          <w:sz w:val="22"/>
          <w:szCs w:val="22"/>
        </w:rPr>
        <w:t xml:space="preserve">Catalogue d'API GreenSyndic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326"/>
        <w:gridCol w:w="150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Domaine API</w:t>
            </w:r>
          </w:p>
        </w:tc>
        <w:tc>
          <w:tcPr>
            <w:tcW w:type="dxa" w:w="53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Endpoints principaux</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Méthodes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Lots</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/api/v1/lots, /api/v1/lots/{id}, /api/v1/lots/{id}/history</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PUT, 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Copropriétaires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/api/v1/owners, /api/v1/owners/{id}/accounts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PUT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Locataires</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/api/v1/tenants, /api/v1/tenants/{id}/rent</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Baux</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/api/v1/leases, /api/v1/leases/{id}/revision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PUT, DELETE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Comptabilité</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/api/v1/accounting/entries, /api/v1/accounting/balance</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Appels de fonds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/api/v1/fund-calls, /api/v1/fund-calls/{id}/payments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Charges</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/api/v1/charges, /api/v1/charges/distribution</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Incidents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/api/v1/incidents, /api/v1/incidents/{id}/status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PUT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Travaux / OS</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/api/v1/work-orders, /api/v1/work-orders/{id}/quotes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Documents GED</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/api/v1/documents, /api/v1/documents/{id}/download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DELETE</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AG</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/api/v1/meetings, /api/v1/meetings/{id}/resolutions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Paiements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/api/v1/payments, /api/v1/payments/mobile-money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Utilisateurs</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/api/v1/users, /api/v1/users/{id}/roles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POST, PUT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Paramètres</w:t>
            </w:r>
          </w:p>
        </w:tc>
        <w:tc>
          <w:tcPr>
            <w:tcW w:type="dxa" w:w="53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/api/v1/settings, /api/v1/settings/{key}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 PUT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Veille juridique</w:t>
            </w:r>
          </w:p>
        </w:tc>
        <w:tc>
          <w:tcPr>
            <w:tcW w:type="dxa" w:w="5326"/>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/api/v1/legal-watch, /api/v1/legal-watch/alerts</w:t>
            </w:r>
          </w:p>
        </w:tc>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GET</w:t>
            </w:r>
          </w:p>
        </w:tc>
      </w:tr>
    </w:tbl>
    <w:p>
      <w:pPr>
        <w:spacing w:after="200"/>
      </w:pPr>
    </w:p>
    <w:p>
      <w:pPr>
        <w:spacing w:after="120"/>
      </w:pPr>
      <w:r>
        <w:rPr>
          <w:rFonts w:ascii="Arial" w:cs="Arial" w:eastAsia="Arial" w:hAnsi="Arial"/>
          <w:b/>
          <w:bCs/>
          <w:color w:val="333333"/>
          <w:sz w:val="22"/>
          <w:szCs w:val="22"/>
        </w:rPr>
        <w:t xml:space="preserve">Sécurité des API :</w:t>
      </w:r>
    </w:p>
    <w:p>
      <w:pPr>
        <w:pStyle w:val="ListParagraph"/>
        <w:numPr>
          <w:ilvl w:val="0"/>
          <w:numId w:val="2"/>
        </w:numPr>
        <w:spacing w:after="60"/>
      </w:pPr>
      <w:r>
        <w:rPr>
          <w:rFonts w:ascii="Arial" w:cs="Arial" w:eastAsia="Arial" w:hAnsi="Arial"/>
          <w:sz w:val="20"/>
          <w:szCs w:val="20"/>
        </w:rPr>
        <w:t xml:space="preserve">Authentification : JWT Bearer tokens avec expiration configurable</w:t>
      </w:r>
    </w:p>
    <w:p>
      <w:pPr>
        <w:pStyle w:val="ListParagraph"/>
        <w:numPr>
          <w:ilvl w:val="0"/>
          <w:numId w:val="2"/>
        </w:numPr>
        <w:spacing w:after="60"/>
      </w:pPr>
      <w:r>
        <w:rPr>
          <w:rFonts w:ascii="Arial" w:cs="Arial" w:eastAsia="Arial" w:hAnsi="Arial"/>
          <w:sz w:val="20"/>
          <w:szCs w:val="20"/>
        </w:rPr>
        <w:t xml:space="preserve">Clés API : chaque système tiers reçoit une clé API unique avec périmètre de droits limité (ex : COSMOS ne peut accéder qu'aux lots commerciaux)</w:t>
      </w:r>
    </w:p>
    <w:p>
      <w:pPr>
        <w:pStyle w:val="ListParagraph"/>
        <w:numPr>
          <w:ilvl w:val="0"/>
          <w:numId w:val="2"/>
        </w:numPr>
        <w:spacing w:after="60"/>
      </w:pPr>
      <w:r>
        <w:rPr>
          <w:rFonts w:ascii="Arial" w:cs="Arial" w:eastAsia="Arial" w:hAnsi="Arial"/>
          <w:sz w:val="20"/>
          <w:szCs w:val="20"/>
        </w:rPr>
        <w:t xml:space="preserve">Rate limiting : nombre d'appels/minute paramétrable par clé API</w:t>
      </w:r>
    </w:p>
    <w:p>
      <w:pPr>
        <w:pStyle w:val="ListParagraph"/>
        <w:numPr>
          <w:ilvl w:val="0"/>
          <w:numId w:val="2"/>
        </w:numPr>
        <w:spacing w:after="60"/>
      </w:pPr>
      <w:r>
        <w:rPr>
          <w:rFonts w:ascii="Arial" w:cs="Arial" w:eastAsia="Arial" w:hAnsi="Arial"/>
          <w:sz w:val="20"/>
          <w:szCs w:val="20"/>
        </w:rPr>
        <w:t xml:space="preserve">Logs d'appels : chaque appel API est journalisé (clé, endpoint, méthode, statut, durée, IP)</w:t>
      </w:r>
    </w:p>
    <w:p>
      <w:pPr>
        <w:pStyle w:val="ListParagraph"/>
        <w:numPr>
          <w:ilvl w:val="0"/>
          <w:numId w:val="2"/>
        </w:numPr>
        <w:spacing w:after="60"/>
      </w:pPr>
      <w:r>
        <w:rPr>
          <w:rFonts w:ascii="Arial" w:cs="Arial" w:eastAsia="Arial" w:hAnsi="Arial"/>
          <w:sz w:val="20"/>
          <w:szCs w:val="20"/>
        </w:rPr>
        <w:t xml:space="preserve">Webhooks sortants : GreenSyndic peut notifier un système tiers en temps réel lors d'un événement (nouveau paiement, nouvel incident, facture validée)</w:t>
      </w:r>
    </w:p>
    <w:p>
      <w:pPr>
        <w:pStyle w:val="ListParagraph"/>
        <w:numPr>
          <w:ilvl w:val="0"/>
          <w:numId w:val="2"/>
        </w:numPr>
        <w:spacing w:after="60"/>
      </w:pPr>
      <w:r>
        <w:rPr>
          <w:rFonts w:ascii="Arial" w:cs="Arial" w:eastAsia="Arial" w:hAnsi="Arial"/>
          <w:sz w:val="20"/>
          <w:szCs w:val="20"/>
        </w:rPr>
        <w:t xml:space="preserve">CORS configuré pour les intégrations front-end tierces</w:t>
      </w:r>
    </w:p>
    <w:p>
      <w:pPr>
        <w:spacing w:after="200"/>
      </w:pPr>
    </w:p>
    <w:p>
      <w:pPr>
        <w:spacing w:after="120"/>
      </w:pPr>
      <w:r>
        <w:rPr>
          <w:rFonts w:ascii="Arial" w:cs="Arial" w:eastAsia="Arial" w:hAnsi="Arial"/>
          <w:b/>
          <w:bCs/>
          <w:color w:val="1B4F72"/>
          <w:sz w:val="22"/>
          <w:szCs w:val="22"/>
        </w:rPr>
        <w:t xml:space="preserve">8.5.3 Connecteurs spécifiques</w:t>
      </w:r>
    </w:p>
    <w:p>
      <w:pPr>
        <w:pStyle w:val="ListParagraph"/>
        <w:numPr>
          <w:ilvl w:val="0"/>
          <w:numId w:val="2"/>
        </w:numPr>
        <w:spacing w:after="60"/>
      </w:pPr>
      <w:r>
        <w:rPr>
          <w:rFonts w:ascii="Arial" w:cs="Arial" w:eastAsia="Arial" w:hAnsi="Arial"/>
          <w:sz w:val="20"/>
          <w:szCs w:val="20"/>
        </w:rPr>
        <w:t xml:space="preserve">Connecteur comptable SYSCOHADA : export/import au format standard des logiciels comptables OHADA (Sage OHADA, SAARI, etc.)</w:t>
      </w:r>
    </w:p>
    <w:p>
      <w:pPr>
        <w:pStyle w:val="ListParagraph"/>
        <w:numPr>
          <w:ilvl w:val="0"/>
          <w:numId w:val="2"/>
        </w:numPr>
        <w:spacing w:after="60"/>
      </w:pPr>
      <w:r>
        <w:rPr>
          <w:rFonts w:ascii="Arial" w:cs="Arial" w:eastAsia="Arial" w:hAnsi="Arial"/>
          <w:sz w:val="20"/>
          <w:szCs w:val="20"/>
        </w:rPr>
        <w:t xml:space="preserve">Connecteur bancaire UEMOA : format d'échange normalisé pour les relevés et virements BCEAO</w:t>
      </w:r>
    </w:p>
    <w:p>
      <w:pPr>
        <w:pStyle w:val="ListParagraph"/>
        <w:numPr>
          <w:ilvl w:val="0"/>
          <w:numId w:val="2"/>
        </w:numPr>
        <w:spacing w:after="60"/>
      </w:pPr>
      <w:r>
        <w:rPr>
          <w:rFonts w:ascii="Arial" w:cs="Arial" w:eastAsia="Arial" w:hAnsi="Arial"/>
          <w:sz w:val="20"/>
          <w:szCs w:val="20"/>
        </w:rPr>
        <w:t xml:space="preserve">Connecteur mobile money : API CinetPay/PayDunya avec réconciliation automatique des paiements</w:t>
      </w:r>
    </w:p>
    <w:p>
      <w:pPr>
        <w:pStyle w:val="ListParagraph"/>
        <w:numPr>
          <w:ilvl w:val="0"/>
          <w:numId w:val="2"/>
        </w:numPr>
        <w:spacing w:after="60"/>
      </w:pPr>
      <w:r>
        <w:rPr>
          <w:rFonts w:ascii="Arial" w:cs="Arial" w:eastAsia="Arial" w:hAnsi="Arial"/>
          <w:sz w:val="20"/>
          <w:szCs w:val="20"/>
        </w:rPr>
        <w:t xml:space="preserve">Connecteur GMAO : interface avec les logiciels de maintenance (si le responsable technique utilise un outil spécialisé)</w:t>
      </w:r>
    </w:p>
    <w:p>
      <w:pPr>
        <w:pStyle w:val="ListParagraph"/>
        <w:numPr>
          <w:ilvl w:val="0"/>
          <w:numId w:val="2"/>
        </w:numPr>
        <w:spacing w:after="60"/>
      </w:pPr>
      <w:r>
        <w:rPr>
          <w:rFonts w:ascii="Arial" w:cs="Arial" w:eastAsia="Arial" w:hAnsi="Arial"/>
          <w:sz w:val="20"/>
          <w:szCs w:val="20"/>
        </w:rPr>
        <w:t xml:space="preserve">Connecteur CRM immobilier : export des lots disponibles vers des plateformes de commercialisation (Jumia House, CoinAfrique, etc.)</w:t>
      </w:r>
    </w:p>
    <w:p>
      <w:pPr>
        <w:spacing w:after="200"/>
      </w:pPr>
    </w:p>
    <w:p>
      <w:pPr>
        <w:spacing w:after="120"/>
      </w:pPr>
      <w:r>
        <w:rPr>
          <w:rFonts w:ascii="Arial" w:cs="Arial" w:eastAsia="Arial" w:hAnsi="Arial"/>
          <w:b/>
          <w:bCs/>
          <w:color w:val="1B4F72"/>
          <w:sz w:val="22"/>
          <w:szCs w:val="22"/>
        </w:rPr>
        <w:t xml:space="preserve">8.5.4 Scénario type : coexistence GreenSyndic + système COSMOS</w:t>
      </w:r>
    </w:p>
    <w:p>
      <w:pPr>
        <w:spacing w:after="120"/>
      </w:pPr>
      <w:r>
        <w:rPr>
          <w:rFonts w:ascii="Arial" w:cs="Arial" w:eastAsia="Arial" w:hAnsi="Arial"/>
          <w:color w:val="333333"/>
          <w:sz w:val="22"/>
          <w:szCs w:val="22"/>
        </w:rPr>
        <w:t xml:space="preserve">Le centre commercial COSMOS dispose de son propre système de gestion (property management) pour la gestion quotidienne des enseignes, des flux clients et du marketing. GreenSyndic intervient uniquement pour :</w:t>
      </w:r>
    </w:p>
    <w:p>
      <w:pPr>
        <w:pStyle w:val="ListParagraph"/>
        <w:numPr>
          <w:ilvl w:val="0"/>
          <w:numId w:val="2"/>
        </w:numPr>
        <w:spacing w:after="60"/>
      </w:pPr>
      <w:r>
        <w:rPr>
          <w:rFonts w:ascii="Arial" w:cs="Arial" w:eastAsia="Arial" w:hAnsi="Arial"/>
          <w:sz w:val="20"/>
          <w:szCs w:val="20"/>
        </w:rPr>
        <w:t xml:space="preserve">Recevoir les factures de charges communes (via import Excel mensuel ou API push)</w:t>
      </w:r>
    </w:p>
    <w:p>
      <w:pPr>
        <w:pStyle w:val="ListParagraph"/>
        <w:numPr>
          <w:ilvl w:val="0"/>
          <w:numId w:val="2"/>
        </w:numPr>
        <w:spacing w:after="60"/>
      </w:pPr>
      <w:r>
        <w:rPr>
          <w:rFonts w:ascii="Arial" w:cs="Arial" w:eastAsia="Arial" w:hAnsi="Arial"/>
          <w:sz w:val="20"/>
          <w:szCs w:val="20"/>
        </w:rPr>
        <w:t xml:space="preserve">Émettre les appels de charges aux copropriétaires du centre (si le centre est en copropriété)</w:t>
      </w:r>
    </w:p>
    <w:p>
      <w:pPr>
        <w:pStyle w:val="ListParagraph"/>
        <w:numPr>
          <w:ilvl w:val="0"/>
          <w:numId w:val="2"/>
        </w:numPr>
        <w:spacing w:after="60"/>
      </w:pPr>
      <w:r>
        <w:rPr>
          <w:rFonts w:ascii="Arial" w:cs="Arial" w:eastAsia="Arial" w:hAnsi="Arial"/>
          <w:sz w:val="20"/>
          <w:szCs w:val="20"/>
        </w:rPr>
        <w:t xml:space="preserve">Produire les répartitions de charges entre résidentiel et commercial</w:t>
      </w:r>
    </w:p>
    <w:p>
      <w:pPr>
        <w:pStyle w:val="ListParagraph"/>
        <w:numPr>
          <w:ilvl w:val="0"/>
          <w:numId w:val="2"/>
        </w:numPr>
        <w:spacing w:after="60"/>
      </w:pPr>
      <w:r>
        <w:rPr>
          <w:rFonts w:ascii="Arial" w:cs="Arial" w:eastAsia="Arial" w:hAnsi="Arial"/>
          <w:sz w:val="20"/>
          <w:szCs w:val="20"/>
        </w:rPr>
        <w:t xml:space="preserve">Consolider les états financiers du syndicat incluant le volet commercial</w:t>
      </w:r>
    </w:p>
    <w:p>
      <w:pPr>
        <w:pStyle w:val="ListParagraph"/>
        <w:numPr>
          <w:ilvl w:val="0"/>
          <w:numId w:val="2"/>
        </w:numPr>
        <w:spacing w:after="60"/>
      </w:pPr>
      <w:r>
        <w:rPr>
          <w:rFonts w:ascii="Arial" w:cs="Arial" w:eastAsia="Arial" w:hAnsi="Arial"/>
          <w:sz w:val="20"/>
          <w:szCs w:val="20"/>
        </w:rPr>
        <w:t xml:space="preserve">Le système COSMOS reste maître de ses données commerciales (chiffre d'affaires, taux d'occupation boutiques, marketing)</w:t>
      </w:r>
    </w:p>
    <w:p>
      <w:pPr>
        <w:pStyle w:val="ListParagraph"/>
        <w:numPr>
          <w:ilvl w:val="0"/>
          <w:numId w:val="2"/>
        </w:numPr>
        <w:spacing w:after="60"/>
      </w:pPr>
      <w:r>
        <w:rPr>
          <w:rFonts w:ascii="Arial" w:cs="Arial" w:eastAsia="Arial" w:hAnsi="Arial"/>
          <w:sz w:val="20"/>
          <w:szCs w:val="20"/>
        </w:rPr>
        <w:t xml:space="preserve">GreenSyndic ne duplique PAS les données du système COSMOS — il les consomme en lecture ou les reçoit en push</w:t>
      </w:r>
    </w:p>
    <w:p>
      <w:pPr>
        <w:spacing w:after="200"/>
      </w:pPr>
    </w:p>
    <w:p>
      <w:r>
        <w:br w:type="page"/>
      </w:r>
    </w:p>
    <w:p>
      <w:pPr>
        <w:pStyle w:val="Heading1"/>
      </w:pPr>
      <w:r>
        <w:t xml:space="preserve">9. User Stories détaillées — Application Syndic</w:t>
      </w:r>
    </w:p>
    <w:p>
      <w:pPr>
        <w:pStyle w:val="Heading2"/>
      </w:pPr>
      <w:r>
        <w:t xml:space="preserve">9.1 Comptabilité</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comptable syndic, </w:t>
      </w:r>
      <w:r>
        <w:rPr>
          <w:rFonts w:ascii="Arial" w:cs="Arial" w:eastAsia="Arial" w:hAnsi="Arial"/>
          <w:b/>
          <w:bCs/>
          <w:color w:val="27AE60"/>
          <w:sz w:val="20"/>
          <w:szCs w:val="20"/>
        </w:rPr>
        <w:t xml:space="preserve">JE VEUX </w:t>
      </w:r>
      <w:r>
        <w:rPr>
          <w:rFonts w:ascii="Arial" w:cs="Arial" w:eastAsia="Arial" w:hAnsi="Arial"/>
          <w:sz w:val="20"/>
          <w:szCs w:val="20"/>
        </w:rPr>
        <w:t xml:space="preserve">importer automatiquement les factures par OCR, </w:t>
      </w:r>
      <w:r>
        <w:rPr>
          <w:rFonts w:ascii="Arial" w:cs="Arial" w:eastAsia="Arial" w:hAnsi="Arial"/>
          <w:b/>
          <w:bCs/>
          <w:color w:val="E67E22"/>
          <w:sz w:val="20"/>
          <w:szCs w:val="20"/>
        </w:rPr>
        <w:t xml:space="preserve">AFIN DE </w:t>
      </w:r>
      <w:r>
        <w:rPr>
          <w:rFonts w:ascii="Arial" w:cs="Arial" w:eastAsia="Arial" w:hAnsi="Arial"/>
          <w:sz w:val="20"/>
          <w:szCs w:val="20"/>
        </w:rPr>
        <w:t xml:space="preserve">gagner 80% du temps de saisie manuelle</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comptable syndic, </w:t>
      </w:r>
      <w:r>
        <w:rPr>
          <w:rFonts w:ascii="Arial" w:cs="Arial" w:eastAsia="Arial" w:hAnsi="Arial"/>
          <w:b/>
          <w:bCs/>
          <w:color w:val="27AE60"/>
          <w:sz w:val="20"/>
          <w:szCs w:val="20"/>
        </w:rPr>
        <w:t xml:space="preserve">JE VEUX </w:t>
      </w:r>
      <w:r>
        <w:rPr>
          <w:rFonts w:ascii="Arial" w:cs="Arial" w:eastAsia="Arial" w:hAnsi="Arial"/>
          <w:sz w:val="20"/>
          <w:szCs w:val="20"/>
        </w:rPr>
        <w:t xml:space="preserve">lancer le rapprochement bancaire en un clic, </w:t>
      </w:r>
      <w:r>
        <w:rPr>
          <w:rFonts w:ascii="Arial" w:cs="Arial" w:eastAsia="Arial" w:hAnsi="Arial"/>
          <w:b/>
          <w:bCs/>
          <w:color w:val="E67E22"/>
          <w:sz w:val="20"/>
          <w:szCs w:val="20"/>
        </w:rPr>
        <w:t xml:space="preserve">AFIN DE </w:t>
      </w:r>
      <w:r>
        <w:rPr>
          <w:rFonts w:ascii="Arial" w:cs="Arial" w:eastAsia="Arial" w:hAnsi="Arial"/>
          <w:sz w:val="20"/>
          <w:szCs w:val="20"/>
        </w:rPr>
        <w:t xml:space="preserve">fiabiliser les comptes et détecter les anomalies</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générer les 5 annexes comptables automatiquement, </w:t>
      </w:r>
      <w:r>
        <w:rPr>
          <w:rFonts w:ascii="Arial" w:cs="Arial" w:eastAsia="Arial" w:hAnsi="Arial"/>
          <w:b/>
          <w:bCs/>
          <w:color w:val="E67E22"/>
          <w:sz w:val="20"/>
          <w:szCs w:val="20"/>
        </w:rPr>
        <w:t xml:space="preserve">AFIN DE </w:t>
      </w:r>
      <w:r>
        <w:rPr>
          <w:rFonts w:ascii="Arial" w:cs="Arial" w:eastAsia="Arial" w:hAnsi="Arial"/>
          <w:sz w:val="20"/>
          <w:szCs w:val="20"/>
        </w:rPr>
        <w:t xml:space="preserve">préparer l'AG sans ressaisie</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créer un appel de fonds travaux avec répartition par tantièmes, </w:t>
      </w:r>
      <w:r>
        <w:rPr>
          <w:rFonts w:ascii="Arial" w:cs="Arial" w:eastAsia="Arial" w:hAnsi="Arial"/>
          <w:b/>
          <w:bCs/>
          <w:color w:val="E67E22"/>
          <w:sz w:val="20"/>
          <w:szCs w:val="20"/>
        </w:rPr>
        <w:t xml:space="preserve">AFIN DE </w:t>
      </w:r>
      <w:r>
        <w:rPr>
          <w:rFonts w:ascii="Arial" w:cs="Arial" w:eastAsia="Arial" w:hAnsi="Arial"/>
          <w:sz w:val="20"/>
          <w:szCs w:val="20"/>
        </w:rPr>
        <w:t xml:space="preserve">financer les travaux votés en AG</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comptable, </w:t>
      </w:r>
      <w:r>
        <w:rPr>
          <w:rFonts w:ascii="Arial" w:cs="Arial" w:eastAsia="Arial" w:hAnsi="Arial"/>
          <w:b/>
          <w:bCs/>
          <w:color w:val="27AE60"/>
          <w:sz w:val="20"/>
          <w:szCs w:val="20"/>
        </w:rPr>
        <w:t xml:space="preserve">JE VEUX </w:t>
      </w:r>
      <w:r>
        <w:rPr>
          <w:rFonts w:ascii="Arial" w:cs="Arial" w:eastAsia="Arial" w:hAnsi="Arial"/>
          <w:sz w:val="20"/>
          <w:szCs w:val="20"/>
        </w:rPr>
        <w:t xml:space="preserve">programmer des écritures récurrentes mensuelles, </w:t>
      </w:r>
      <w:r>
        <w:rPr>
          <w:rFonts w:ascii="Arial" w:cs="Arial" w:eastAsia="Arial" w:hAnsi="Arial"/>
          <w:b/>
          <w:bCs/>
          <w:color w:val="E67E22"/>
          <w:sz w:val="20"/>
          <w:szCs w:val="20"/>
        </w:rPr>
        <w:t xml:space="preserve">AFIN DE </w:t>
      </w:r>
      <w:r>
        <w:rPr>
          <w:rFonts w:ascii="Arial" w:cs="Arial" w:eastAsia="Arial" w:hAnsi="Arial"/>
          <w:sz w:val="20"/>
          <w:szCs w:val="20"/>
        </w:rPr>
        <w:t xml:space="preserve">automatiser la saisie des factures de nettoyage et d'ascenseur</w:t>
      </w:r>
    </w:p>
    <w:p>
      <w:pPr>
        <w:pStyle w:val="Heading2"/>
      </w:pPr>
      <w:r>
        <w:t xml:space="preserve">9.2 Assemblées Générales</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préparer l'AG en sélectionnant les résolutions types, </w:t>
      </w:r>
      <w:r>
        <w:rPr>
          <w:rFonts w:ascii="Arial" w:cs="Arial" w:eastAsia="Arial" w:hAnsi="Arial"/>
          <w:b/>
          <w:bCs/>
          <w:color w:val="E67E22"/>
          <w:sz w:val="20"/>
          <w:szCs w:val="20"/>
        </w:rPr>
        <w:t xml:space="preserve">AFIN DE </w:t>
      </w:r>
      <w:r>
        <w:rPr>
          <w:rFonts w:ascii="Arial" w:cs="Arial" w:eastAsia="Arial" w:hAnsi="Arial"/>
          <w:sz w:val="20"/>
          <w:szCs w:val="20"/>
        </w:rPr>
        <w:t xml:space="preserve">gagner du temps et assurer la conformité juridique</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animer l'AG en mode hybride présentiel + visio, </w:t>
      </w:r>
      <w:r>
        <w:rPr>
          <w:rFonts w:ascii="Arial" w:cs="Arial" w:eastAsia="Arial" w:hAnsi="Arial"/>
          <w:b/>
          <w:bCs/>
          <w:color w:val="E67E22"/>
          <w:sz w:val="20"/>
          <w:szCs w:val="20"/>
        </w:rPr>
        <w:t xml:space="preserve">AFIN DE </w:t>
      </w:r>
      <w:r>
        <w:rPr>
          <w:rFonts w:ascii="Arial" w:cs="Arial" w:eastAsia="Arial" w:hAnsi="Arial"/>
          <w:sz w:val="20"/>
          <w:szCs w:val="20"/>
        </w:rPr>
        <w:t xml:space="preserve">permettre à tous les copropriétaires de participer</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générer le PV automatiquement à la fin de l'AG, </w:t>
      </w:r>
      <w:r>
        <w:rPr>
          <w:rFonts w:ascii="Arial" w:cs="Arial" w:eastAsia="Arial" w:hAnsi="Arial"/>
          <w:b/>
          <w:bCs/>
          <w:color w:val="E67E22"/>
          <w:sz w:val="20"/>
          <w:szCs w:val="20"/>
        </w:rPr>
        <w:t xml:space="preserve">AFIN DE </w:t>
      </w:r>
      <w:r>
        <w:rPr>
          <w:rFonts w:ascii="Arial" w:cs="Arial" w:eastAsia="Arial" w:hAnsi="Arial"/>
          <w:sz w:val="20"/>
          <w:szCs w:val="20"/>
        </w:rPr>
        <w:t xml:space="preserve">envoyer les résultats sous 48h comme l'exige la loi</w:t>
      </w:r>
    </w:p>
    <w:p>
      <w:pPr>
        <w:pStyle w:val="Heading2"/>
      </w:pPr>
      <w:r>
        <w:t xml:space="preserve">9.3 Gestion terrain</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terrain, </w:t>
      </w:r>
      <w:r>
        <w:rPr>
          <w:rFonts w:ascii="Arial" w:cs="Arial" w:eastAsia="Arial" w:hAnsi="Arial"/>
          <w:b/>
          <w:bCs/>
          <w:color w:val="27AE60"/>
          <w:sz w:val="20"/>
          <w:szCs w:val="20"/>
        </w:rPr>
        <w:t xml:space="preserve">JE VEUX </w:t>
      </w:r>
      <w:r>
        <w:rPr>
          <w:rFonts w:ascii="Arial" w:cs="Arial" w:eastAsia="Arial" w:hAnsi="Arial"/>
          <w:sz w:val="20"/>
          <w:szCs w:val="20"/>
        </w:rPr>
        <w:t xml:space="preserve">réaliser une visite technique d'immeuble sur mon mobile, </w:t>
      </w:r>
      <w:r>
        <w:rPr>
          <w:rFonts w:ascii="Arial" w:cs="Arial" w:eastAsia="Arial" w:hAnsi="Arial"/>
          <w:b/>
          <w:bCs/>
          <w:color w:val="E67E22"/>
          <w:sz w:val="20"/>
          <w:szCs w:val="20"/>
        </w:rPr>
        <w:t xml:space="preserve">AFIN DE </w:t>
      </w:r>
      <w:r>
        <w:rPr>
          <w:rFonts w:ascii="Arial" w:cs="Arial" w:eastAsia="Arial" w:hAnsi="Arial"/>
          <w:sz w:val="20"/>
          <w:szCs w:val="20"/>
        </w:rPr>
        <w:t xml:space="preserve">produire un rapport photo complet sans retourner au bureau</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émettre un ordre de service depuis mon mobile, </w:t>
      </w:r>
      <w:r>
        <w:rPr>
          <w:rFonts w:ascii="Arial" w:cs="Arial" w:eastAsia="Arial" w:hAnsi="Arial"/>
          <w:b/>
          <w:bCs/>
          <w:color w:val="E67E22"/>
          <w:sz w:val="20"/>
          <w:szCs w:val="20"/>
        </w:rPr>
        <w:t xml:space="preserve">AFIN DE </w:t>
      </w:r>
      <w:r>
        <w:rPr>
          <w:rFonts w:ascii="Arial" w:cs="Arial" w:eastAsia="Arial" w:hAnsi="Arial"/>
          <w:sz w:val="20"/>
          <w:szCs w:val="20"/>
        </w:rPr>
        <w:t xml:space="preserve">réagir immédiatement à un incident signalé</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vérifier la conformité réglementaire de mes fournisseurs, </w:t>
      </w:r>
      <w:r>
        <w:rPr>
          <w:rFonts w:ascii="Arial" w:cs="Arial" w:eastAsia="Arial" w:hAnsi="Arial"/>
          <w:b/>
          <w:bCs/>
          <w:color w:val="E67E22"/>
          <w:sz w:val="20"/>
          <w:szCs w:val="20"/>
        </w:rPr>
        <w:t xml:space="preserve">AFIN DE </w:t>
      </w:r>
      <w:r>
        <w:rPr>
          <w:rFonts w:ascii="Arial" w:cs="Arial" w:eastAsia="Arial" w:hAnsi="Arial"/>
          <w:sz w:val="20"/>
          <w:szCs w:val="20"/>
        </w:rPr>
        <w:t xml:space="preserve">sécuriser les interventions sur l'ensemble</w:t>
      </w:r>
    </w:p>
    <w:p>
      <w:pPr>
        <w:pStyle w:val="Heading2"/>
      </w:pPr>
      <w:r>
        <w:t xml:space="preserve">9.4 Entités commerciales</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commercial, </w:t>
      </w:r>
      <w:r>
        <w:rPr>
          <w:rFonts w:ascii="Arial" w:cs="Arial" w:eastAsia="Arial" w:hAnsi="Arial"/>
          <w:b/>
          <w:bCs/>
          <w:color w:val="27AE60"/>
          <w:sz w:val="20"/>
          <w:szCs w:val="20"/>
        </w:rPr>
        <w:t xml:space="preserve">JE VEUX </w:t>
      </w:r>
      <w:r>
        <w:rPr>
          <w:rFonts w:ascii="Arial" w:cs="Arial" w:eastAsia="Arial" w:hAnsi="Arial"/>
          <w:sz w:val="20"/>
          <w:szCs w:val="20"/>
        </w:rPr>
        <w:t xml:space="preserve">gérer la révision triennale d'un bail 3/6/9, </w:t>
      </w:r>
      <w:r>
        <w:rPr>
          <w:rFonts w:ascii="Arial" w:cs="Arial" w:eastAsia="Arial" w:hAnsi="Arial"/>
          <w:b/>
          <w:bCs/>
          <w:color w:val="E67E22"/>
          <w:sz w:val="20"/>
          <w:szCs w:val="20"/>
        </w:rPr>
        <w:t xml:space="preserve">AFIN DE </w:t>
      </w:r>
      <w:r>
        <w:rPr>
          <w:rFonts w:ascii="Arial" w:cs="Arial" w:eastAsia="Arial" w:hAnsi="Arial"/>
          <w:sz w:val="20"/>
          <w:szCs w:val="20"/>
        </w:rPr>
        <w:t xml:space="preserve">appliquer correctement l'indexation ILC</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consolider les charges du centre commercial et du résidentiel, </w:t>
      </w:r>
      <w:r>
        <w:rPr>
          <w:rFonts w:ascii="Arial" w:cs="Arial" w:eastAsia="Arial" w:hAnsi="Arial"/>
          <w:b/>
          <w:bCs/>
          <w:color w:val="E67E22"/>
          <w:sz w:val="20"/>
          <w:szCs w:val="20"/>
        </w:rPr>
        <w:t xml:space="preserve">AFIN DE </w:t>
      </w:r>
      <w:r>
        <w:rPr>
          <w:rFonts w:ascii="Arial" w:cs="Arial" w:eastAsia="Arial" w:hAnsi="Arial"/>
          <w:sz w:val="20"/>
          <w:szCs w:val="20"/>
        </w:rPr>
        <w:t xml:space="preserve">produire une répartition juste entre toutes les entités</w:t>
      </w:r>
    </w:p>
    <w:p>
      <w:pPr>
        <w:spacing w:after="100"/>
        <w:ind w:left="360"/>
      </w:pPr>
      <w:r>
        <w:rPr>
          <w:rFonts w:ascii="Arial" w:cs="Arial" w:eastAsia="Arial" w:hAnsi="Arial"/>
          <w:b/>
          <w:bCs/>
          <w:color w:val="1B4F72"/>
          <w:sz w:val="20"/>
          <w:szCs w:val="20"/>
        </w:rPr>
        <w:t xml:space="preserve">EN TANT QUE </w:t>
      </w:r>
      <w:r>
        <w:rPr>
          <w:rFonts w:ascii="Arial" w:cs="Arial" w:eastAsia="Arial" w:hAnsi="Arial"/>
          <w:sz w:val="20"/>
          <w:szCs w:val="20"/>
        </w:rPr>
        <w:t xml:space="preserve">gestionnaire, </w:t>
      </w:r>
      <w:r>
        <w:rPr>
          <w:rFonts w:ascii="Arial" w:cs="Arial" w:eastAsia="Arial" w:hAnsi="Arial"/>
          <w:b/>
          <w:bCs/>
          <w:color w:val="27AE60"/>
          <w:sz w:val="20"/>
          <w:szCs w:val="20"/>
        </w:rPr>
        <w:t xml:space="preserve">JE VEUX </w:t>
      </w:r>
      <w:r>
        <w:rPr>
          <w:rFonts w:ascii="Arial" w:cs="Arial" w:eastAsia="Arial" w:hAnsi="Arial"/>
          <w:sz w:val="20"/>
          <w:szCs w:val="20"/>
        </w:rPr>
        <w:t xml:space="preserve">suivre les contrôles ERP du cinéma, </w:t>
      </w:r>
      <w:r>
        <w:rPr>
          <w:rFonts w:ascii="Arial" w:cs="Arial" w:eastAsia="Arial" w:hAnsi="Arial"/>
          <w:b/>
          <w:bCs/>
          <w:color w:val="E67E22"/>
          <w:sz w:val="20"/>
          <w:szCs w:val="20"/>
        </w:rPr>
        <w:t xml:space="preserve">AFIN DE </w:t>
      </w:r>
      <w:r>
        <w:rPr>
          <w:rFonts w:ascii="Arial" w:cs="Arial" w:eastAsia="Arial" w:hAnsi="Arial"/>
          <w:sz w:val="20"/>
          <w:szCs w:val="20"/>
        </w:rPr>
        <w:t xml:space="preserve">anticiper les échéances réglementaires</w:t>
      </w:r>
    </w:p>
    <w:p>
      <w:r>
        <w:br w:type="page"/>
      </w:r>
    </w:p>
    <w:p>
      <w:pPr>
        <w:pStyle w:val="Heading1"/>
      </w:pPr>
      <w:r>
        <w:t xml:space="preserve">10. Maquettes fonctionnelles (wireframes textuels)</w:t>
      </w:r>
    </w:p>
    <w:p>
      <w:pPr>
        <w:spacing w:after="120"/>
      </w:pPr>
      <w:r>
        <w:rPr>
          <w:rFonts w:ascii="Arial" w:cs="Arial" w:eastAsia="Arial" w:hAnsi="Arial"/>
          <w:color w:val="333333"/>
          <w:sz w:val="22"/>
          <w:szCs w:val="22"/>
        </w:rPr>
        <w:t xml:space="preserve">Les wireframes ci-dessous décrivent la structure des écrans principaux pour guider le design UI/UX.</w:t>
      </w:r>
    </w:p>
    <w:p>
      <w:pPr>
        <w:pStyle w:val="Heading2"/>
      </w:pPr>
      <w:r>
        <w:t xml:space="preserve">10.1 Dashboard Syndic (Desktop)</w:t>
      </w:r>
    </w:p>
    <w:p>
      <w:pPr>
        <w:spacing w:after="120"/>
      </w:pPr>
      <w:r>
        <w:rPr>
          <w:rFonts w:ascii="Arial" w:cs="Arial" w:eastAsia="Arial" w:hAnsi="Arial"/>
          <w:b/>
          <w:bCs/>
          <w:color w:val="1B4F72"/>
          <w:sz w:val="22"/>
          <w:szCs w:val="22"/>
        </w:rPr>
        <w:t xml:space="preserve">=== BARRE DE NAVIGATION SUPÉRIEURE ===</w:t>
      </w:r>
    </w:p>
    <w:p>
      <w:pPr>
        <w:spacing w:after="120"/>
      </w:pPr>
      <w:r>
        <w:rPr>
          <w:rFonts w:ascii="Arial" w:cs="Arial" w:eastAsia="Arial" w:hAnsi="Arial"/>
          <w:color w:val="333333"/>
          <w:sz w:val="22"/>
          <w:szCs w:val="22"/>
        </w:rPr>
        <w:t xml:space="preserve">[Logo] | Accueil | Copropriétés | Comptabilité | AG | Travaux | Communication | Reporting | [Profil] [Notifications]</w:t>
      </w:r>
    </w:p>
    <w:p>
      <w:pPr>
        <w:spacing w:after="200"/>
      </w:pPr>
    </w:p>
    <w:p>
      <w:pPr>
        <w:spacing w:after="120"/>
      </w:pPr>
      <w:r>
        <w:rPr>
          <w:rFonts w:ascii="Arial" w:cs="Arial" w:eastAsia="Arial" w:hAnsi="Arial"/>
          <w:b/>
          <w:bCs/>
          <w:color w:val="1B4F72"/>
          <w:sz w:val="22"/>
          <w:szCs w:val="22"/>
        </w:rPr>
        <w:t xml:space="preserve">=== ZONE PRINCIPALE ===</w:t>
      </w:r>
    </w:p>
    <w:p>
      <w:pPr>
        <w:spacing w:after="120"/>
      </w:pPr>
      <w:r>
        <w:rPr>
          <w:rFonts w:ascii="Arial" w:cs="Arial" w:eastAsia="Arial" w:hAnsi="Arial"/>
          <w:color w:val="333333"/>
          <w:sz w:val="22"/>
          <w:szCs w:val="22"/>
        </w:rPr>
        <w:t xml:space="preserve">[COLONNE GAUCHE - 30%]</w:t>
      </w:r>
    </w:p>
    <w:p>
      <w:pPr>
        <w:pStyle w:val="ListParagraph"/>
        <w:numPr>
          <w:ilvl w:val="0"/>
          <w:numId w:val="2"/>
        </w:numPr>
        <w:spacing w:after="60"/>
      </w:pPr>
      <w:r>
        <w:rPr>
          <w:rFonts w:ascii="Arial" w:cs="Arial" w:eastAsia="Arial" w:hAnsi="Arial"/>
          <w:sz w:val="20"/>
          <w:szCs w:val="20"/>
        </w:rPr>
        <w:t xml:space="preserve">Carte KPI : Impayés totaux (montant + tendance)</w:t>
      </w:r>
    </w:p>
    <w:p>
      <w:pPr>
        <w:pStyle w:val="ListParagraph"/>
        <w:numPr>
          <w:ilvl w:val="0"/>
          <w:numId w:val="2"/>
        </w:numPr>
        <w:spacing w:after="60"/>
      </w:pPr>
      <w:r>
        <w:rPr>
          <w:rFonts w:ascii="Arial" w:cs="Arial" w:eastAsia="Arial" w:hAnsi="Arial"/>
          <w:sz w:val="20"/>
          <w:szCs w:val="20"/>
        </w:rPr>
        <w:t xml:space="preserve">Carte KPI : Lots vacants (nombre + taux)</w:t>
      </w:r>
    </w:p>
    <w:p>
      <w:pPr>
        <w:pStyle w:val="ListParagraph"/>
        <w:numPr>
          <w:ilvl w:val="0"/>
          <w:numId w:val="2"/>
        </w:numPr>
        <w:spacing w:after="60"/>
      </w:pPr>
      <w:r>
        <w:rPr>
          <w:rFonts w:ascii="Arial" w:cs="Arial" w:eastAsia="Arial" w:hAnsi="Arial"/>
          <w:sz w:val="20"/>
          <w:szCs w:val="20"/>
        </w:rPr>
        <w:t xml:space="preserve">Carte KPI : Incidents ouverts (nombre + urgence)</w:t>
      </w:r>
    </w:p>
    <w:p>
      <w:pPr>
        <w:pStyle w:val="ListParagraph"/>
        <w:numPr>
          <w:ilvl w:val="0"/>
          <w:numId w:val="2"/>
        </w:numPr>
        <w:spacing w:after="60"/>
      </w:pPr>
      <w:r>
        <w:rPr>
          <w:rFonts w:ascii="Arial" w:cs="Arial" w:eastAsia="Arial" w:hAnsi="Arial"/>
          <w:sz w:val="20"/>
          <w:szCs w:val="20"/>
        </w:rPr>
        <w:t xml:space="preserve">Carte KPI : Prochaines AG (date + copropriété)</w:t>
      </w:r>
    </w:p>
    <w:p>
      <w:pPr>
        <w:spacing w:after="200"/>
      </w:pPr>
    </w:p>
    <w:p>
      <w:pPr>
        <w:spacing w:after="120"/>
      </w:pPr>
      <w:r>
        <w:rPr>
          <w:rFonts w:ascii="Arial" w:cs="Arial" w:eastAsia="Arial" w:hAnsi="Arial"/>
          <w:color w:val="333333"/>
          <w:sz w:val="22"/>
          <w:szCs w:val="22"/>
        </w:rPr>
        <w:t xml:space="preserve">[COLONNE DROITE - 70%]</w:t>
      </w:r>
    </w:p>
    <w:p>
      <w:pPr>
        <w:pStyle w:val="ListParagraph"/>
        <w:numPr>
          <w:ilvl w:val="0"/>
          <w:numId w:val="2"/>
        </w:numPr>
        <w:spacing w:after="60"/>
      </w:pPr>
      <w:r>
        <w:rPr>
          <w:rFonts w:ascii="Arial" w:cs="Arial" w:eastAsia="Arial" w:hAnsi="Arial"/>
          <w:sz w:val="20"/>
          <w:szCs w:val="20"/>
        </w:rPr>
        <w:t xml:space="preserve">Liste des tâches du jour (agenda synchronisé)</w:t>
      </w:r>
    </w:p>
    <w:p>
      <w:pPr>
        <w:pStyle w:val="ListParagraph"/>
        <w:numPr>
          <w:ilvl w:val="0"/>
          <w:numId w:val="2"/>
        </w:numPr>
        <w:spacing w:after="60"/>
      </w:pPr>
      <w:r>
        <w:rPr>
          <w:rFonts w:ascii="Arial" w:cs="Arial" w:eastAsia="Arial" w:hAnsi="Arial"/>
          <w:sz w:val="20"/>
          <w:szCs w:val="20"/>
        </w:rPr>
        <w:t xml:space="preserve">Dernières demandes copropriétaires/locataires</w:t>
      </w:r>
    </w:p>
    <w:p>
      <w:pPr>
        <w:pStyle w:val="ListParagraph"/>
        <w:numPr>
          <w:ilvl w:val="0"/>
          <w:numId w:val="2"/>
        </w:numPr>
        <w:spacing w:after="60"/>
      </w:pPr>
      <w:r>
        <w:rPr>
          <w:rFonts w:ascii="Arial" w:cs="Arial" w:eastAsia="Arial" w:hAnsi="Arial"/>
          <w:sz w:val="20"/>
          <w:szCs w:val="20"/>
        </w:rPr>
        <w:t xml:space="preserve">Alertes : échéances contrats, conformité fournisseurs</w:t>
      </w:r>
    </w:p>
    <w:p>
      <w:pPr>
        <w:pStyle w:val="ListParagraph"/>
        <w:numPr>
          <w:ilvl w:val="0"/>
          <w:numId w:val="2"/>
        </w:numPr>
        <w:spacing w:after="60"/>
      </w:pPr>
      <w:r>
        <w:rPr>
          <w:rFonts w:ascii="Arial" w:cs="Arial" w:eastAsia="Arial" w:hAnsi="Arial"/>
          <w:sz w:val="20"/>
          <w:szCs w:val="20"/>
        </w:rPr>
        <w:t xml:space="preserve">Graphique : évolution trésorerie globale (12 mois)</w:t>
      </w:r>
    </w:p>
    <w:p>
      <w:pPr>
        <w:pStyle w:val="Heading2"/>
      </w:pPr>
      <w:r>
        <w:t xml:space="preserve">10.2 Dashboard Syndic (Mobile — Web responsive)</w:t>
      </w:r>
    </w:p>
    <w:p>
      <w:pPr>
        <w:spacing w:after="120"/>
      </w:pPr>
      <w:r>
        <w:rPr>
          <w:rFonts w:ascii="Arial" w:cs="Arial" w:eastAsia="Arial" w:hAnsi="Arial"/>
          <w:b/>
          <w:bCs/>
          <w:color w:val="1B4F72"/>
          <w:sz w:val="22"/>
          <w:szCs w:val="22"/>
        </w:rPr>
        <w:t xml:space="preserve">=== EN-TÊTE COMPACT ===</w:t>
      </w:r>
    </w:p>
    <w:p>
      <w:pPr>
        <w:spacing w:after="120"/>
      </w:pPr>
      <w:r>
        <w:rPr>
          <w:rFonts w:ascii="Arial" w:cs="Arial" w:eastAsia="Arial" w:hAnsi="Arial"/>
          <w:color w:val="333333"/>
          <w:sz w:val="22"/>
          <w:szCs w:val="22"/>
        </w:rPr>
        <w:t xml:space="preserve">[Logo réduit] | [Icône Menu hamburger] | [Cloche notifications : 5]</w:t>
      </w:r>
    </w:p>
    <w:p>
      <w:pPr>
        <w:spacing w:after="200"/>
      </w:pPr>
    </w:p>
    <w:p>
      <w:pPr>
        <w:spacing w:after="120"/>
      </w:pPr>
      <w:r>
        <w:rPr>
          <w:rFonts w:ascii="Arial" w:cs="Arial" w:eastAsia="Arial" w:hAnsi="Arial"/>
          <w:b/>
          <w:bCs/>
          <w:color w:val="1B4F72"/>
          <w:sz w:val="22"/>
          <w:szCs w:val="22"/>
        </w:rPr>
        <w:t xml:space="preserve">=== CARTES KPI EMPILÉES (scroll vertical) ===</w:t>
      </w:r>
    </w:p>
    <w:p>
      <w:pPr>
        <w:pStyle w:val="ListParagraph"/>
        <w:numPr>
          <w:ilvl w:val="0"/>
          <w:numId w:val="2"/>
        </w:numPr>
        <w:spacing w:after="60"/>
      </w:pPr>
      <w:r>
        <w:rPr>
          <w:rFonts w:ascii="Arial" w:cs="Arial" w:eastAsia="Arial" w:hAnsi="Arial"/>
          <w:sz w:val="20"/>
          <w:szCs w:val="20"/>
        </w:rPr>
        <w:t xml:space="preserve">Carte 1 : Impayés totaux — 4 250 000 FCFA (↑ 3%) — [Voir liste]</w:t>
      </w:r>
    </w:p>
    <w:p>
      <w:pPr>
        <w:pStyle w:val="ListParagraph"/>
        <w:numPr>
          <w:ilvl w:val="0"/>
          <w:numId w:val="2"/>
        </w:numPr>
        <w:spacing w:after="60"/>
      </w:pPr>
      <w:r>
        <w:rPr>
          <w:rFonts w:ascii="Arial" w:cs="Arial" w:eastAsia="Arial" w:hAnsi="Arial"/>
          <w:sz w:val="20"/>
          <w:szCs w:val="20"/>
        </w:rPr>
        <w:t xml:space="preserve">Carte 2 : Taux occupation — 94% (sparkline 6 mois)</w:t>
      </w:r>
    </w:p>
    <w:p>
      <w:pPr>
        <w:pStyle w:val="ListParagraph"/>
        <w:numPr>
          <w:ilvl w:val="0"/>
          <w:numId w:val="2"/>
        </w:numPr>
        <w:spacing w:after="60"/>
      </w:pPr>
      <w:r>
        <w:rPr>
          <w:rFonts w:ascii="Arial" w:cs="Arial" w:eastAsia="Arial" w:hAnsi="Arial"/>
          <w:sz w:val="20"/>
          <w:szCs w:val="20"/>
        </w:rPr>
        <w:t xml:space="preserve">Carte 3 : Incidents ouverts — 7 dont 2 urgents — [Voir]</w:t>
      </w:r>
    </w:p>
    <w:p>
      <w:pPr>
        <w:pStyle w:val="ListParagraph"/>
        <w:numPr>
          <w:ilvl w:val="0"/>
          <w:numId w:val="2"/>
        </w:numPr>
        <w:spacing w:after="60"/>
      </w:pPr>
      <w:r>
        <w:rPr>
          <w:rFonts w:ascii="Arial" w:cs="Arial" w:eastAsia="Arial" w:hAnsi="Arial"/>
          <w:sz w:val="20"/>
          <w:szCs w:val="20"/>
        </w:rPr>
        <w:t xml:space="preserve">Carte 4 : Trésorerie globale — 12 500 000 FCFA (sparkline)</w:t>
      </w:r>
    </w:p>
    <w:p>
      <w:pPr>
        <w:pStyle w:val="ListParagraph"/>
        <w:numPr>
          <w:ilvl w:val="0"/>
          <w:numId w:val="2"/>
        </w:numPr>
        <w:spacing w:after="60"/>
      </w:pPr>
      <w:r>
        <w:rPr>
          <w:rFonts w:ascii="Arial" w:cs="Arial" w:eastAsia="Arial" w:hAnsi="Arial"/>
          <w:sz w:val="20"/>
          <w:szCs w:val="20"/>
        </w:rPr>
        <w:t xml:space="preserve">Carte 5 : Prochaine AG — Green City Horiz. le 15/04 — [Détails]</w:t>
      </w:r>
    </w:p>
    <w:p>
      <w:pPr>
        <w:spacing w:after="200"/>
      </w:pPr>
    </w:p>
    <w:p>
      <w:pPr>
        <w:spacing w:after="120"/>
      </w:pPr>
      <w:r>
        <w:rPr>
          <w:rFonts w:ascii="Arial" w:cs="Arial" w:eastAsia="Arial" w:hAnsi="Arial"/>
          <w:b/>
          <w:bCs/>
          <w:color w:val="1B4F72"/>
          <w:sz w:val="22"/>
          <w:szCs w:val="22"/>
        </w:rPr>
        <w:t xml:space="preserve">=== ACTIONS RAPIDES TERRAIN (grille 2x2) ===</w:t>
      </w:r>
    </w:p>
    <w:p>
      <w:pPr>
        <w:spacing w:after="120"/>
      </w:pPr>
      <w:r>
        <w:rPr>
          <w:rFonts w:ascii="Arial" w:cs="Arial" w:eastAsia="Arial" w:hAnsi="Arial"/>
          <w:color w:val="333333"/>
          <w:sz w:val="22"/>
          <w:szCs w:val="22"/>
        </w:rPr>
        <w:t xml:space="preserve">[Créer incident + photo] [Scanner facture] [Lancer VTI] [Envoyer SMS]</w:t>
      </w:r>
    </w:p>
    <w:p>
      <w:pPr>
        <w:spacing w:after="200"/>
      </w:pPr>
    </w:p>
    <w:p>
      <w:pPr>
        <w:spacing w:after="120"/>
      </w:pPr>
      <w:r>
        <w:rPr>
          <w:rFonts w:ascii="Arial" w:cs="Arial" w:eastAsia="Arial" w:hAnsi="Arial"/>
          <w:b/>
          <w:bCs/>
          <w:color w:val="1B4F72"/>
          <w:sz w:val="22"/>
          <w:szCs w:val="22"/>
        </w:rPr>
        <w:t xml:space="preserve">=== DERNIÈRES ALERTES (liste simple) ===</w:t>
      </w:r>
    </w:p>
    <w:p>
      <w:pPr>
        <w:pStyle w:val="ListParagraph"/>
        <w:numPr>
          <w:ilvl w:val="0"/>
          <w:numId w:val="2"/>
        </w:numPr>
        <w:spacing w:after="60"/>
      </w:pPr>
      <w:r>
        <w:rPr>
          <w:rFonts w:ascii="Arial" w:cs="Arial" w:eastAsia="Arial" w:hAnsi="Arial"/>
          <w:sz w:val="20"/>
          <w:szCs w:val="20"/>
        </w:rPr>
        <w:t xml:space="preserve">Impayé &gt; 3 mois — Villa 23 Boya — 1 500 000 FCFA — [Relancer]</w:t>
      </w:r>
    </w:p>
    <w:p>
      <w:pPr>
        <w:pStyle w:val="ListParagraph"/>
        <w:numPr>
          <w:ilvl w:val="0"/>
          <w:numId w:val="2"/>
        </w:numPr>
        <w:spacing w:after="60"/>
      </w:pPr>
      <w:r>
        <w:rPr>
          <w:rFonts w:ascii="Arial" w:cs="Arial" w:eastAsia="Arial" w:hAnsi="Arial"/>
          <w:sz w:val="20"/>
          <w:szCs w:val="20"/>
        </w:rPr>
        <w:t xml:space="preserve">Bail R4 Food-court expire dans 30j — [Voir bail]</w:t>
      </w:r>
    </w:p>
    <w:p>
      <w:pPr>
        <w:pStyle w:val="ListParagraph"/>
        <w:numPr>
          <w:ilvl w:val="0"/>
          <w:numId w:val="2"/>
        </w:numPr>
        <w:spacing w:after="60"/>
      </w:pPr>
      <w:r>
        <w:rPr>
          <w:rFonts w:ascii="Arial" w:cs="Arial" w:eastAsia="Arial" w:hAnsi="Arial"/>
          <w:sz w:val="20"/>
          <w:szCs w:val="20"/>
        </w:rPr>
        <w:t xml:space="preserve">Facture Oryx en attente validation — [Valider / Refuser]</w:t>
      </w:r>
    </w:p>
    <w:p>
      <w:pPr>
        <w:spacing w:after="200"/>
      </w:pPr>
    </w:p>
    <w:p>
      <w:pPr>
        <w:spacing w:after="120"/>
      </w:pPr>
      <w:r>
        <w:rPr>
          <w:rFonts w:ascii="Arial" w:cs="Arial" w:eastAsia="Arial" w:hAnsi="Arial"/>
          <w:i/>
          <w:iCs/>
          <w:color w:val="7F8C8D"/>
          <w:sz w:val="22"/>
          <w:szCs w:val="22"/>
        </w:rPr>
        <w:t xml:space="preserve">Note : PAS de graphiques complexes, PAS de tableaux multi-colonnes, PAS d'accès au paramétrage ni à la comptabilité détaillée depuis cet écran.</w:t>
      </w:r>
    </w:p>
    <w:p>
      <w:pPr>
        <w:pStyle w:val="Heading2"/>
      </w:pPr>
      <w:r>
        <w:t xml:space="preserve">10.3 Écran principal App Propriétaire (Mobile — PWA)</w:t>
      </w:r>
    </w:p>
    <w:p>
      <w:pPr>
        <w:spacing w:after="120"/>
      </w:pPr>
      <w:r>
        <w:rPr>
          <w:rFonts w:ascii="Arial" w:cs="Arial" w:eastAsia="Arial" w:hAnsi="Arial"/>
          <w:b/>
          <w:bCs/>
          <w:color w:val="1B4F72"/>
          <w:sz w:val="22"/>
          <w:szCs w:val="22"/>
        </w:rPr>
        <w:t xml:space="preserve">=== EN-TÊTE ===</w:t>
      </w:r>
    </w:p>
    <w:p>
      <w:pPr>
        <w:spacing w:after="120"/>
      </w:pPr>
      <w:r>
        <w:rPr>
          <w:rFonts w:ascii="Arial" w:cs="Arial" w:eastAsia="Arial" w:hAnsi="Arial"/>
          <w:color w:val="333333"/>
          <w:sz w:val="22"/>
          <w:szCs w:val="22"/>
        </w:rPr>
        <w:t xml:space="preserve">[Avatar] Bonjour [Prénom] | [Icône Notifications : 3]</w:t>
      </w:r>
    </w:p>
    <w:p>
      <w:pPr>
        <w:spacing w:after="200"/>
      </w:pPr>
    </w:p>
    <w:p>
      <w:pPr>
        <w:spacing w:after="120"/>
      </w:pPr>
      <w:r>
        <w:rPr>
          <w:rFonts w:ascii="Arial" w:cs="Arial" w:eastAsia="Arial" w:hAnsi="Arial"/>
          <w:b/>
          <w:bCs/>
          <w:color w:val="1B4F72"/>
          <w:sz w:val="22"/>
          <w:szCs w:val="22"/>
        </w:rPr>
        <w:t xml:space="preserve">=== CARTE SOLDE ===</w:t>
      </w:r>
    </w:p>
    <w:p>
      <w:pPr>
        <w:spacing w:after="120"/>
      </w:pPr>
      <w:r>
        <w:rPr>
          <w:rFonts w:ascii="Arial" w:cs="Arial" w:eastAsia="Arial" w:hAnsi="Arial"/>
          <w:color w:val="333333"/>
          <w:sz w:val="22"/>
          <w:szCs w:val="22"/>
        </w:rPr>
        <w:t xml:space="preserve">[Solde actuel : 0 FCFA] | [Bouton : Payer mes charges]</w:t>
      </w:r>
    </w:p>
    <w:p>
      <w:pPr>
        <w:spacing w:after="200"/>
      </w:pPr>
    </w:p>
    <w:p>
      <w:pPr>
        <w:spacing w:after="120"/>
      </w:pPr>
      <w:r>
        <w:rPr>
          <w:rFonts w:ascii="Arial" w:cs="Arial" w:eastAsia="Arial" w:hAnsi="Arial"/>
          <w:b/>
          <w:bCs/>
          <w:color w:val="1B4F72"/>
          <w:sz w:val="22"/>
          <w:szCs w:val="22"/>
        </w:rPr>
        <w:t xml:space="preserve">=== ACCÈS RAPIDES (grille 2x3) ===</w:t>
      </w:r>
    </w:p>
    <w:p>
      <w:pPr>
        <w:spacing w:after="120"/>
      </w:pPr>
      <w:r>
        <w:rPr>
          <w:rFonts w:ascii="Arial" w:cs="Arial" w:eastAsia="Arial" w:hAnsi="Arial"/>
          <w:color w:val="333333"/>
          <w:sz w:val="22"/>
          <w:szCs w:val="22"/>
        </w:rPr>
        <w:t xml:space="preserve">[Mes documents] [Mon compte] [Signaler incident] [Voter AG] [Messagerie] [Mon immeuble]</w:t>
      </w:r>
    </w:p>
    <w:p>
      <w:pPr>
        <w:spacing w:after="200"/>
      </w:pPr>
    </w:p>
    <w:p>
      <w:pPr>
        <w:spacing w:after="120"/>
      </w:pPr>
      <w:r>
        <w:rPr>
          <w:rFonts w:ascii="Arial" w:cs="Arial" w:eastAsia="Arial" w:hAnsi="Arial"/>
          <w:b/>
          <w:bCs/>
          <w:color w:val="1B4F72"/>
          <w:sz w:val="22"/>
          <w:szCs w:val="22"/>
        </w:rPr>
        <w:t xml:space="preserve">=== FLUX D'ACTUALITÉ ===</w:t>
      </w:r>
    </w:p>
    <w:p>
      <w:pPr>
        <w:pStyle w:val="ListParagraph"/>
        <w:numPr>
          <w:ilvl w:val="0"/>
          <w:numId w:val="2"/>
        </w:numPr>
        <w:spacing w:after="60"/>
      </w:pPr>
      <w:r>
        <w:rPr>
          <w:rFonts w:ascii="Arial" w:cs="Arial" w:eastAsia="Arial" w:hAnsi="Arial"/>
          <w:sz w:val="20"/>
          <w:szCs w:val="20"/>
        </w:rPr>
        <w:t xml:space="preserve">Dernier PV d'AG disponible — Consulter</w:t>
      </w:r>
    </w:p>
    <w:p>
      <w:pPr>
        <w:pStyle w:val="ListParagraph"/>
        <w:numPr>
          <w:ilvl w:val="0"/>
          <w:numId w:val="2"/>
        </w:numPr>
        <w:spacing w:after="60"/>
      </w:pPr>
      <w:r>
        <w:rPr>
          <w:rFonts w:ascii="Arial" w:cs="Arial" w:eastAsia="Arial" w:hAnsi="Arial"/>
          <w:sz w:val="20"/>
          <w:szCs w:val="20"/>
        </w:rPr>
        <w:t xml:space="preserve">Travaux parking : début le 15/04 — Détails</w:t>
      </w:r>
    </w:p>
    <w:p>
      <w:pPr>
        <w:pStyle w:val="ListParagraph"/>
        <w:numPr>
          <w:ilvl w:val="0"/>
          <w:numId w:val="2"/>
        </w:numPr>
        <w:spacing w:after="60"/>
      </w:pPr>
      <w:r>
        <w:rPr>
          <w:rFonts w:ascii="Arial" w:cs="Arial" w:eastAsia="Arial" w:hAnsi="Arial"/>
          <w:sz w:val="20"/>
          <w:szCs w:val="20"/>
        </w:rPr>
        <w:t xml:space="preserve">Appel de fonds T2 2026 disponible — Payer</w:t>
      </w:r>
    </w:p>
    <w:p>
      <w:pPr>
        <w:pStyle w:val="Heading2"/>
      </w:pPr>
      <w:r>
        <w:t xml:space="preserve">10.4 Écran principal App Locataire (Mobile — PWA)</w:t>
      </w:r>
    </w:p>
    <w:p>
      <w:pPr>
        <w:spacing w:after="120"/>
      </w:pPr>
      <w:r>
        <w:rPr>
          <w:rFonts w:ascii="Arial" w:cs="Arial" w:eastAsia="Arial" w:hAnsi="Arial"/>
          <w:b/>
          <w:bCs/>
          <w:color w:val="1B4F72"/>
          <w:sz w:val="22"/>
          <w:szCs w:val="22"/>
        </w:rPr>
        <w:t xml:space="preserve">=== EN-TÊTE ===</w:t>
      </w:r>
    </w:p>
    <w:p>
      <w:pPr>
        <w:spacing w:after="120"/>
      </w:pPr>
      <w:r>
        <w:rPr>
          <w:rFonts w:ascii="Arial" w:cs="Arial" w:eastAsia="Arial" w:hAnsi="Arial"/>
          <w:color w:val="333333"/>
          <w:sz w:val="22"/>
          <w:szCs w:val="22"/>
        </w:rPr>
        <w:t xml:space="preserve">[Avatar] Bonjour [Prénom] | [Icône Notifications : 1]</w:t>
      </w:r>
    </w:p>
    <w:p>
      <w:pPr>
        <w:spacing w:after="200"/>
      </w:pPr>
    </w:p>
    <w:p>
      <w:pPr>
        <w:spacing w:after="120"/>
      </w:pPr>
      <w:r>
        <w:rPr>
          <w:rFonts w:ascii="Arial" w:cs="Arial" w:eastAsia="Arial" w:hAnsi="Arial"/>
          <w:b/>
          <w:bCs/>
          <w:color w:val="1B4F72"/>
          <w:sz w:val="22"/>
          <w:szCs w:val="22"/>
        </w:rPr>
        <w:t xml:space="preserve">=== CARTE LOYER ===</w:t>
      </w:r>
    </w:p>
    <w:p>
      <w:pPr>
        <w:spacing w:after="120"/>
      </w:pPr>
      <w:r>
        <w:rPr>
          <w:rFonts w:ascii="Arial" w:cs="Arial" w:eastAsia="Arial" w:hAnsi="Arial"/>
          <w:color w:val="333333"/>
          <w:sz w:val="22"/>
          <w:szCs w:val="22"/>
        </w:rPr>
        <w:t xml:space="preserve">[Prochain loyer : 350 000 FCFA le 05/04] | [Bouton : Payer] | [Bouton : Quittances]</w:t>
      </w:r>
    </w:p>
    <w:p>
      <w:pPr>
        <w:spacing w:after="200"/>
      </w:pPr>
    </w:p>
    <w:p>
      <w:pPr>
        <w:spacing w:after="120"/>
      </w:pPr>
      <w:r>
        <w:rPr>
          <w:rFonts w:ascii="Arial" w:cs="Arial" w:eastAsia="Arial" w:hAnsi="Arial"/>
          <w:b/>
          <w:bCs/>
          <w:color w:val="1B4F72"/>
          <w:sz w:val="22"/>
          <w:szCs w:val="22"/>
        </w:rPr>
        <w:t xml:space="preserve">=== ACCÈS RAPIDES (grille 2x2) ===</w:t>
      </w:r>
    </w:p>
    <w:p>
      <w:pPr>
        <w:spacing w:after="120"/>
      </w:pPr>
      <w:r>
        <w:rPr>
          <w:rFonts w:ascii="Arial" w:cs="Arial" w:eastAsia="Arial" w:hAnsi="Arial"/>
          <w:color w:val="333333"/>
          <w:sz w:val="22"/>
          <w:szCs w:val="22"/>
        </w:rPr>
        <w:t xml:space="preserve">[Signaler un problème] [Mes documents] [Contacter le gestionnaire] [Infos pratiques]</w:t>
      </w:r>
    </w:p>
    <w:p>
      <w:pPr>
        <w:spacing w:after="200"/>
      </w:pPr>
    </w:p>
    <w:p>
      <w:pPr>
        <w:spacing w:after="120"/>
      </w:pPr>
      <w:r>
        <w:rPr>
          <w:rFonts w:ascii="Arial" w:cs="Arial" w:eastAsia="Arial" w:hAnsi="Arial"/>
          <w:b/>
          <w:bCs/>
          <w:color w:val="1B4F72"/>
          <w:sz w:val="22"/>
          <w:szCs w:val="22"/>
        </w:rPr>
        <w:t xml:space="preserve">=== DERNIÈRES NOTIFICATIONS ===</w:t>
      </w:r>
    </w:p>
    <w:p>
      <w:pPr>
        <w:pStyle w:val="ListParagraph"/>
        <w:numPr>
          <w:ilvl w:val="0"/>
          <w:numId w:val="2"/>
        </w:numPr>
        <w:spacing w:after="60"/>
      </w:pPr>
      <w:r>
        <w:rPr>
          <w:rFonts w:ascii="Arial" w:cs="Arial" w:eastAsia="Arial" w:hAnsi="Arial"/>
          <w:sz w:val="20"/>
          <w:szCs w:val="20"/>
        </w:rPr>
        <w:t xml:space="preserve">Votre quittance de mars est disponible — Télécharger</w:t>
      </w:r>
    </w:p>
    <w:p>
      <w:pPr>
        <w:pStyle w:val="ListParagraph"/>
        <w:numPr>
          <w:ilvl w:val="0"/>
          <w:numId w:val="2"/>
        </w:numPr>
        <w:spacing w:after="60"/>
      </w:pPr>
      <w:r>
        <w:rPr>
          <w:rFonts w:ascii="Arial" w:cs="Arial" w:eastAsia="Arial" w:hAnsi="Arial"/>
          <w:sz w:val="20"/>
          <w:szCs w:val="20"/>
        </w:rPr>
        <w:t xml:space="preserve">Intervention plomberie confirmée le 22/03 — Détails</w:t>
      </w:r>
    </w:p>
    <w:p>
      <w:r>
        <w:br w:type="page"/>
      </w:r>
    </w:p>
    <w:p>
      <w:pPr>
        <w:pStyle w:val="Heading1"/>
      </w:pPr>
      <w:r>
        <w:t xml:space="preserve">11. Roadmap de développement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3313"/>
        <w:gridCol w:w="3313"/>
      </w:tblGrid>
      <w:tr>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Phase</w:t>
            </w:r>
          </w:p>
        </w:tc>
        <w:tc>
          <w:tcPr>
            <w:tcW w:type="dxa" w:w="1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Durée</w:t>
            </w:r>
          </w:p>
        </w:tc>
        <w:tc>
          <w:tcPr>
            <w:tcW w:type="dxa" w:w="33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Périmètre</w:t>
            </w:r>
          </w:p>
        </w:tc>
        <w:tc>
          <w:tcPr>
            <w:tcW w:type="dxa" w:w="3313"/>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Livrables</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Phase 1 : Socle</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 mois</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Architecture, authentification, référentiel lots, modèle de données</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Infrastructure cloud, API de base, back-office admin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Phase 2 : Comptabilité</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 mois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Module comptable complet, appels de fonds, rapprochement, annexes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Comptabilité opérationnelle, export FEC, gestion impayés</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Phase 3 : AG &amp; Communication</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 mois</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Module AG (convocation, vote, PV), centre de communication multicanal</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AG hybride fonctionnelle, diffusion courrier/email/SMS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Phase 4 : Apps Mobiles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 mois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App propriétaire + app locataire (iOS/Android)</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PWA déployées, notifications Web Push</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Phase 5 : Gestion locative &amp; commerciale</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3 mois</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Baux résidentiels et commerciaux, entités spéciales, état des lieux</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Module locatif complet, baux 3/6/9, entités configurables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Phase 6 : IA &amp; Reporting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 mois</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OCR factures, DataHub BI, reconnaissance IA, optimisation</w:t>
            </w:r>
          </w:p>
        </w:tc>
        <w:tc>
          <w:tcPr>
            <w:tcW w:type="dxa" w:w="3313"/>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OCR opérationnel, tableaux de bord avancés, API partenaires</w:t>
            </w:r>
          </w:p>
        </w:tc>
      </w:tr>
      <w:tr>
        <w:tc>
          <w:tcPr>
            <w:tcW w:type="dxa" w:w="1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Phase 7 : Stabilisation</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2 mois</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Tests utilisateurs, corrections, documentation, formation</w:t>
            </w:r>
          </w:p>
        </w:tc>
        <w:tc>
          <w:tcPr>
            <w:tcW w:type="dxa" w:w="3313"/>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vAlign w:val="center"/>
          </w:tcPr>
          <w:p>
            <w:pPr>
              <w:jc w:val="left"/>
            </w:pPr>
            <w:r>
              <w:rPr>
                <w:rFonts w:ascii="Arial" w:cs="Arial" w:eastAsia="Arial" w:hAnsi="Arial"/>
                <w:color w:val="333333"/>
                <w:sz w:val="18"/>
                <w:szCs w:val="18"/>
              </w:rPr>
              <w:t xml:space="preserve">Version 1.0 production, documentation complète, support</w:t>
            </w:r>
          </w:p>
        </w:tc>
      </w:tr>
    </w:tbl>
    <w:p>
      <w:pPr>
        <w:spacing w:after="200"/>
      </w:pPr>
    </w:p>
    <w:p>
      <w:pPr>
        <w:spacing w:after="120"/>
      </w:pPr>
      <w:r>
        <w:rPr>
          <w:rFonts w:ascii="Arial" w:cs="Arial" w:eastAsia="Arial" w:hAnsi="Arial"/>
          <w:b/>
          <w:bCs/>
          <w:color w:val="333333"/>
          <w:sz w:val="22"/>
          <w:szCs w:val="22"/>
        </w:rPr>
        <w:t xml:space="preserve">Durée totale estimée : 18 mois. Les phases peuvent se chevaucher partiellement pour accélérer la livraison.</w:t>
      </w:r>
    </w:p>
    <w:p>
      <w:r>
        <w:br w:type="page"/>
      </w:r>
    </w:p>
    <w:p>
      <w:pPr>
        <w:pStyle w:val="Heading1"/>
      </w:pPr>
      <w:r>
        <w:t xml:space="preserve">12. Résumé exécutif</w:t>
      </w:r>
    </w:p>
    <w:p>
      <w:pPr>
        <w:spacing w:after="120"/>
      </w:pPr>
      <w:r>
        <w:rPr>
          <w:rFonts w:ascii="Arial" w:cs="Arial" w:eastAsia="Arial" w:hAnsi="Arial"/>
          <w:color w:val="333333"/>
          <w:sz w:val="22"/>
          <w:szCs w:val="22"/>
        </w:rPr>
        <w:t xml:space="preserve">Ce cahier des spécifications définit GreenSyndic, une solution logicielle innovante répondant à un besoin non couvert sur le marché ivoirien ni même sur le marché français : la gestion unifiée de l'ensemble immobilier mixte GREEN CITY BASSAM / COSMOS BASSAM, conforme au Code de la Construction et de l'Habitat (2019-576), à l'OHADA et à la Loi 2013-450.</w:t>
      </w:r>
    </w:p>
    <w:p>
      <w:pPr>
        <w:spacing w:after="200"/>
      </w:pPr>
    </w:p>
    <w:p>
      <w:pPr>
        <w:spacing w:after="120"/>
      </w:pPr>
      <w:r>
        <w:rPr>
          <w:rFonts w:ascii="Arial" w:cs="Arial" w:eastAsia="Arial" w:hAnsi="Arial"/>
          <w:b/>
          <w:bCs/>
          <w:color w:val="333333"/>
          <w:sz w:val="22"/>
          <w:szCs w:val="22"/>
        </w:rPr>
        <w:t xml:space="preserve">Points clés :</w:t>
      </w:r>
    </w:p>
    <w:p>
      <w:pPr>
        <w:pStyle w:val="ListParagraph"/>
        <w:numPr>
          <w:ilvl w:val="0"/>
          <w:numId w:val="2"/>
        </w:numPr>
        <w:spacing w:after="60"/>
      </w:pPr>
      <w:r>
        <w:rPr>
          <w:rFonts w:ascii="Arial" w:cs="Arial" w:eastAsia="Arial" w:hAnsi="Arial"/>
          <w:sz w:val="20"/>
          <w:szCs w:val="20"/>
        </w:rPr>
        <w:t xml:space="preserve">3 interfaces complémentaires : Syndic desktop (Razor/.NET) + Syndic mobile terrain (PWA) + Propriétaire (PWA) + Locataire (PWA)</w:t>
      </w:r>
    </w:p>
    <w:p>
      <w:pPr>
        <w:pStyle w:val="ListParagraph"/>
        <w:numPr>
          <w:ilvl w:val="0"/>
          <w:numId w:val="2"/>
        </w:numPr>
        <w:spacing w:after="60"/>
      </w:pPr>
      <w:r>
        <w:rPr>
          <w:rFonts w:ascii="Arial" w:cs="Arial" w:eastAsia="Arial" w:hAnsi="Arial"/>
          <w:sz w:val="20"/>
          <w:szCs w:val="20"/>
        </w:rPr>
        <w:t xml:space="preserve">Différenciation claire desktop/mobile : desktop = outil complet, mobile = consultation synthétique + actions terrain</w:t>
      </w:r>
    </w:p>
    <w:p>
      <w:pPr>
        <w:pStyle w:val="ListParagraph"/>
        <w:numPr>
          <w:ilvl w:val="0"/>
          <w:numId w:val="2"/>
        </w:numPr>
        <w:spacing w:after="60"/>
      </w:pPr>
      <w:r>
        <w:rPr>
          <w:rFonts w:ascii="Arial" w:cs="Arial" w:eastAsia="Arial" w:hAnsi="Arial"/>
          <w:sz w:val="20"/>
          <w:szCs w:val="20"/>
        </w:rPr>
        <w:t xml:space="preserve">Copropriété à double niveau : horizontale (Green City) + verticale (par immeuble) gérée nativement</w:t>
      </w:r>
    </w:p>
    <w:p>
      <w:pPr>
        <w:pStyle w:val="ListParagraph"/>
        <w:numPr>
          <w:ilvl w:val="0"/>
          <w:numId w:val="2"/>
        </w:numPr>
        <w:spacing w:after="60"/>
      </w:pPr>
      <w:r>
        <w:rPr>
          <w:rFonts w:ascii="Arial" w:cs="Arial" w:eastAsia="Arial" w:hAnsi="Arial"/>
          <w:sz w:val="20"/>
          <w:szCs w:val="20"/>
        </w:rPr>
        <w:t xml:space="preserve">15 types d'entités : villas, appartements, centre commercial COSMOS, retail park, cinéma, food-court, station-service Oryx, clinique Novamed, Afrika Banque, école, club sportif, club house</w:t>
      </w:r>
    </w:p>
    <w:p>
      <w:pPr>
        <w:pStyle w:val="ListParagraph"/>
        <w:numPr>
          <w:ilvl w:val="0"/>
          <w:numId w:val="2"/>
        </w:numPr>
        <w:spacing w:after="60"/>
      </w:pPr>
      <w:r>
        <w:rPr>
          <w:rFonts w:ascii="Arial" w:cs="Arial" w:eastAsia="Arial" w:hAnsi="Arial"/>
          <w:sz w:val="20"/>
          <w:szCs w:val="20"/>
        </w:rPr>
        <w:t xml:space="preserve">Module de paramétrage complet : tous les taux, montants, seuils et pourcentages sont configurables — aucune valeur en dur</w:t>
      </w:r>
    </w:p>
    <w:p>
      <w:pPr>
        <w:pStyle w:val="ListParagraph"/>
        <w:numPr>
          <w:ilvl w:val="0"/>
          <w:numId w:val="2"/>
        </w:numPr>
        <w:spacing w:after="60"/>
      </w:pPr>
      <w:r>
        <w:rPr>
          <w:rFonts w:ascii="Arial" w:cs="Arial" w:eastAsia="Arial" w:hAnsi="Arial"/>
          <w:sz w:val="20"/>
          <w:szCs w:val="20"/>
        </w:rPr>
        <w:t xml:space="preserve">Module de veille juridique : scraping automatique du JORCI, Ministère, OHADA, ARTCI, DGI — alertes proactives sur les évolutions légales</w:t>
      </w:r>
    </w:p>
    <w:p>
      <w:pPr>
        <w:pStyle w:val="ListParagraph"/>
        <w:numPr>
          <w:ilvl w:val="0"/>
          <w:numId w:val="2"/>
        </w:numPr>
        <w:spacing w:after="60"/>
      </w:pPr>
      <w:r>
        <w:rPr>
          <w:rFonts w:ascii="Arial" w:cs="Arial" w:eastAsia="Arial" w:hAnsi="Arial"/>
          <w:sz w:val="20"/>
          <w:szCs w:val="20"/>
        </w:rPr>
        <w:t xml:space="preserve">Gestion native des baux commerciaux OHADA (AUDCG art. 101-134) aux côtés des baux résidentiels (CCH art. 414-450)</w:t>
      </w:r>
    </w:p>
    <w:p>
      <w:pPr>
        <w:pStyle w:val="ListParagraph"/>
        <w:numPr>
          <w:ilvl w:val="0"/>
          <w:numId w:val="2"/>
        </w:numPr>
        <w:spacing w:after="60"/>
      </w:pPr>
      <w:r>
        <w:rPr>
          <w:rFonts w:ascii="Arial" w:cs="Arial" w:eastAsia="Arial" w:hAnsi="Arial"/>
          <w:sz w:val="20"/>
          <w:szCs w:val="20"/>
        </w:rPr>
        <w:t xml:space="preserve">Stack technique imposée : .NET 10, ASP.NET Core MVC, Razor, PostgreSQL, API-first (Swagger), PWA mobile</w:t>
      </w:r>
    </w:p>
    <w:p>
      <w:pPr>
        <w:pStyle w:val="ListParagraph"/>
        <w:numPr>
          <w:ilvl w:val="0"/>
          <w:numId w:val="2"/>
        </w:numPr>
        <w:spacing w:after="60"/>
      </w:pPr>
      <w:r>
        <w:rPr>
          <w:rFonts w:ascii="Arial" w:cs="Arial" w:eastAsia="Arial" w:hAnsi="Arial"/>
          <w:sz w:val="20"/>
          <w:szCs w:val="20"/>
        </w:rPr>
        <w:t xml:space="preserve">Paiements : mobile money (Orange Money, MTN, Wave), virements BCEAO, CinetPay</w:t>
      </w:r>
    </w:p>
    <w:p>
      <w:pPr>
        <w:pStyle w:val="ListParagraph"/>
        <w:numPr>
          <w:ilvl w:val="0"/>
          <w:numId w:val="2"/>
        </w:numPr>
        <w:spacing w:after="60"/>
      </w:pPr>
      <w:r>
        <w:rPr>
          <w:rFonts w:ascii="Arial" w:cs="Arial" w:eastAsia="Arial" w:hAnsi="Arial"/>
          <w:sz w:val="20"/>
          <w:szCs w:val="20"/>
        </w:rPr>
        <w:t xml:space="preserve">Interopérabilité totale : import/export Excel sur tous les modules + API REST Swagger pour coexistence avec les systèmes existants (COSMOS, Novamed, Oryx, banques)</w:t>
      </w:r>
    </w:p>
    <w:p>
      <w:pPr>
        <w:pStyle w:val="ListParagraph"/>
        <w:numPr>
          <w:ilvl w:val="0"/>
          <w:numId w:val="2"/>
        </w:numPr>
        <w:spacing w:after="60"/>
      </w:pPr>
      <w:r>
        <w:rPr>
          <w:rFonts w:ascii="Arial" w:cs="Arial" w:eastAsia="Arial" w:hAnsi="Arial"/>
          <w:sz w:val="20"/>
          <w:szCs w:val="20"/>
        </w:rPr>
        <w:t xml:space="preserve">Benchmark des meilleures fonctionnalités de 8 solutions du marché</w:t>
      </w:r>
    </w:p>
    <w:p>
      <w:pPr>
        <w:pStyle w:val="ListParagraph"/>
        <w:numPr>
          <w:ilvl w:val="0"/>
          <w:numId w:val="2"/>
        </w:numPr>
        <w:spacing w:after="60"/>
      </w:pPr>
      <w:r>
        <w:rPr>
          <w:rFonts w:ascii="Arial" w:cs="Arial" w:eastAsia="Arial" w:hAnsi="Arial"/>
          <w:sz w:val="20"/>
          <w:szCs w:val="20"/>
        </w:rPr>
        <w:t xml:space="preserve">Roadmap en 7 phases sur 18 mois</w:t>
      </w:r>
    </w:p>
    <w:p>
      <w:pPr>
        <w:pStyle w:val="ListParagraph"/>
        <w:numPr>
          <w:ilvl w:val="0"/>
          <w:numId w:val="2"/>
        </w:numPr>
        <w:spacing w:after="60"/>
      </w:pPr>
      <w:r>
        <w:rPr>
          <w:rFonts w:ascii="Arial" w:cs="Arial" w:eastAsia="Arial" w:hAnsi="Arial"/>
          <w:sz w:val="20"/>
          <w:szCs w:val="20"/>
        </w:rPr>
        <w:t xml:space="preserve">Logiciel 100% générique et revendable : tous les noms, types d'entités, structures, taux et nomenclatures sont paramétrables — aucune donnée Green City codée en dur</w:t>
      </w:r>
    </w:p>
    <w:p>
      <w:pPr>
        <w:pStyle w:val="ListParagraph"/>
        <w:numPr>
          <w:ilvl w:val="0"/>
          <w:numId w:val="2"/>
        </w:numPr>
        <w:spacing w:after="60"/>
      </w:pPr>
      <w:r>
        <w:rPr>
          <w:rFonts w:ascii="Arial" w:cs="Arial" w:eastAsia="Arial" w:hAnsi="Arial"/>
          <w:sz w:val="20"/>
          <w:szCs w:val="20"/>
        </w:rPr>
        <w:t xml:space="preserve">Compatible tout pays OHADA/UEMOA avec ajustement des paramètres pays et cadre juridique</w:t>
      </w:r>
    </w:p>
    <w:p>
      <w:pPr>
        <w:spacing w:after="200"/>
      </w:pPr>
    </w:p>
    <w:p>
      <w:pPr>
        <w:spacing w:after="120"/>
      </w:pPr>
      <w:r>
        <w:rPr>
          <w:rFonts w:ascii="Arial" w:cs="Arial" w:eastAsia="Arial" w:hAnsi="Arial"/>
          <w:color w:val="333333"/>
          <w:sz w:val="22"/>
          <w:szCs w:val="22"/>
        </w:rPr>
        <w:t xml:space="preserve">Ce document sert de base pour le choix d'un prestataire. GreenSyndic intégrera les spécificités du mobile money (dominant en CI), le SYSCOHADA, et le cadre réglementaire UEMOA.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5436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539b987be27ab559445076c43747e87f63cd3e4.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2026-03-20T11:13:55.298Z</dcterms:created>
  <dcterms:modified xsi:type="dcterms:W3CDTF">2026-03-20T11:13:55.298Z</dcterms:modified>
</cp:coreProperties>
</file>

<file path=docProps/custom.xml><?xml version="1.0" encoding="utf-8"?>
<Properties xmlns="http://schemas.openxmlformats.org/officeDocument/2006/custom-properties" xmlns:vt="http://schemas.openxmlformats.org/officeDocument/2006/docPropsVTypes"/>
</file>