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X6650a6ce14ca7e2c6a07a433f9fd3072e7f775b"/>
    <w:p>
      <w:pPr>
        <w:pStyle w:val="Heading1"/>
      </w:pPr>
      <w:r>
        <w:t xml:space="preserve">Resumen Ejecutivo / Executive Summary — Teoría Aplicada a IA v4.2</w:t>
      </w:r>
    </w:p>
    <w:bookmarkStart w:id="12" w:name="es"/>
    <w:p>
      <w:pPr>
        <w:pStyle w:val="Heading2"/>
      </w:pPr>
      <w:r>
        <w:t xml:space="preserve">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Tesis central:</w:t>
      </w:r>
      <w:r>
        <w:t xml:space="preserve"> </w:t>
      </w:r>
      <w:r>
        <w:t xml:space="preserve">La IA genuina necesita “algo que perder”. El “Camino C” usa IPG y un anti‑oráculo pragmático (LCB + OPE DR + gating) para alinear riesgo con utilidad humana y evitar Goodhart.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Arquitectura núcleo (anti‑Goodhart):</w:t>
      </w:r>
    </w:p>
    <w:p>
      <w:pPr>
        <w:pStyle w:val="Compact"/>
        <w:numPr>
          <w:ilvl w:val="1"/>
          <w:numId w:val="1002"/>
        </w:numPr>
      </w:pPr>
      <w:r>
        <w:t xml:space="preserve">LCB: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̂"/>
          </m:accPr>
          <m:e>
            <m:r>
              <m:t>U</m:t>
            </m:r>
          </m:e>
        </m:acc>
        <m:r>
          <m:rPr>
            <m:sty m:val="p"/>
          </m:rPr>
          <m:t>−</m:t>
        </m:r>
        <m:r>
          <m:t>γ</m:t>
        </m:r>
        <m:r>
          <m:t>σ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U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(prudencia).</w:t>
      </w:r>
      <w:r>
        <w:br/>
      </w:r>
    </w:p>
    <w:p>
      <w:pPr>
        <w:pStyle w:val="Compact"/>
        <w:numPr>
          <w:ilvl w:val="1"/>
          <w:numId w:val="1002"/>
        </w:numPr>
      </w:pPr>
      <w:r>
        <w:t xml:space="preserve">OPE doubly‑robust: utilidad causal off‑policy.</w:t>
      </w:r>
      <w:r>
        <w:br/>
      </w:r>
    </w:p>
    <w:p>
      <w:pPr>
        <w:pStyle w:val="Compact"/>
        <w:numPr>
          <w:ilvl w:val="1"/>
          <w:numId w:val="1002"/>
        </w:numPr>
      </w:pPr>
      <w:r>
        <w:t xml:space="preserve">Gating: si (</w:t>
      </w:r>
      <w:r>
        <w:t xml:space="preserve">&gt;</w:t>
      </w:r>
      <w:r>
        <w:t xml:space="preserve">_{</w:t>
      </w:r>
      <w:r>
        <w:t xml:space="preserve">}), solo acciones conservadoras/NO‑OP.</w:t>
      </w:r>
      <w:r>
        <w:br/>
      </w:r>
    </w:p>
    <w:p>
      <w:pPr>
        <w:pStyle w:val="Compact"/>
        <w:numPr>
          <w:ilvl w:val="1"/>
          <w:numId w:val="1002"/>
        </w:numPr>
      </w:pPr>
      <w:r>
        <w:t xml:space="preserve">Tripwires/gaming penalty: (</w:t>
      </w:r>
      <w:r>
        <w:t xml:space="preserve">_G) penaliza señales de gaming.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IPG:</w:t>
      </w:r>
      <w:r>
        <w:t xml:space="preserve"> </w:t>
      </w:r>
      <w:r>
        <w:t xml:space="preserve">Métrica operativa/auditable del Camino C; mide propósito operativo, no propósito filosófico completo; se audita con logs + OPE‑DR.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Evidencia actual:</w:t>
      </w:r>
      <w:r>
        <w:t xml:space="preserve"> </w:t>
      </w:r>
      <w:r>
        <w:t xml:space="preserve">Demo A/B de 10h marcada como ilustrativa; valida la arquitectura anti‑Goodhart, NO prueba H1/PGF. Falta staging ≥1000 episodios con red team adaptativo para evidencia robusta.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Limitaciones:</w:t>
      </w:r>
      <w:r>
        <w:t xml:space="preserve"> </w:t>
      </w:r>
      <w:r>
        <w:t xml:space="preserve">Piloto; necesita calibrar γ, σ_thr, λ_G y validar IPG en entornos reales controlados.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Próximos pasos:</w:t>
      </w:r>
      <w:r>
        <w:t xml:space="preserve"> </w:t>
      </w:r>
      <w:r>
        <w:t xml:space="preserve">(1) A/B largo con red team y OPE‑DR para gap proxy↔valor. (2) Preregistro de umbrales (γ, σ_thr, λ_G) y métricas SRE. (3) Conectar IPG con P_genuino vía dataset real y auditoría continua.</w:t>
      </w:r>
    </w:p>
    <w:p>
      <w:pPr>
        <w:pStyle w:val="BlockText"/>
      </w:pPr>
      <w:r>
        <w:rPr>
          <w:b/>
          <w:bCs/>
        </w:rPr>
        <w:t xml:space="preserve">Estado piloto:</w:t>
      </w:r>
      <w:r>
        <w:t xml:space="preserve"> </w:t>
      </w:r>
      <w:r>
        <w:t xml:space="preserve">Demo A/B 10h (ilustrativa). Evidencia robusta requiere ≥1000 episodios con red team adaptativo y OPE‑DR.</w:t>
      </w:r>
    </w:p>
    <w:p>
      <w:pPr>
        <w:pStyle w:val="CaptionedFigure"/>
      </w:pPr>
      <w:r>
        <w:drawing>
          <wp:inline>
            <wp:extent cx="5334000" cy="2773680"/>
            <wp:effectExtent b="0" l="0" r="0" t="0"/>
            <wp:docPr descr="Anti-Goodhart v4.2" title="" id="10" name="Picture"/>
            <a:graphic>
              <a:graphicData uri="http://schemas.openxmlformats.org/drawingml/2006/picture">
                <pic:pic>
                  <pic:nvPicPr>
                    <pic:cNvPr descr="image/anti_goodhart_v4.2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736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Anti-Goodhart v4.2</w:t>
      </w:r>
    </w:p>
    <w:p>
      <w:pPr>
        <w:pStyle w:val="BodyText"/>
      </w:pPr>
      <w:r>
        <w:rPr>
          <w:b/>
          <w:bCs/>
        </w:rPr>
        <w:t xml:space="preserve">Mini-diagrama (anti-Goodhart, texto)</w:t>
      </w:r>
    </w:p>
    <w:p>
      <w:pPr>
        <w:pStyle w:val="SourceCode"/>
      </w:pPr>
      <w:r>
        <w:rPr>
          <w:rStyle w:val="VerbatimChar"/>
        </w:rPr>
        <w:t xml:space="preserve">policy π → Q_hat → Û, σ̂ ──┐</w:t>
      </w:r>
      <w:r>
        <w:br/>
      </w:r>
      <w:r>
        <w:rPr>
          <w:rStyle w:val="VerbatimChar"/>
        </w:rPr>
        <w:t xml:space="preserve">                           ├─ LCB: U_lcb = Û - γσ̂</w:t>
      </w:r>
      <w:r>
        <w:br/>
      </w:r>
      <w:r>
        <w:rPr>
          <w:rStyle w:val="VerbatimChar"/>
        </w:rPr>
        <w:t xml:space="preserve">logs D ── OPE-DR → U_ope ──┘</w:t>
      </w:r>
      <w:r>
        <w:br/>
      </w:r>
      <w:r>
        <w:rPr>
          <w:rStyle w:val="VerbatimChar"/>
        </w:rPr>
        <w:t xml:space="preserve">if σ̂ &gt; σ_thr → NO-OP</w:t>
      </w:r>
      <w:r>
        <w:br/>
      </w:r>
      <w:r>
        <w:rPr>
          <w:rStyle w:val="VerbatimChar"/>
        </w:rPr>
        <w:t xml:space="preserve">if gaming → U_lcb -= λ_G * score</w:t>
      </w:r>
      <w:r>
        <w:br/>
      </w:r>
      <w:r>
        <w:rPr>
          <w:rStyle w:val="VerbatimChar"/>
        </w:rPr>
        <w:t xml:space="preserve">acción segura ↔ NO-OP ↔ rollback</w:t>
      </w:r>
    </w:p>
    <w:p>
      <w:pPr>
        <w:pStyle w:val="FirstParagraph"/>
      </w:pPr>
      <w:r>
        <w:rPr>
          <w:b/>
          <w:bCs/>
        </w:rPr>
        <w:t xml:space="preserve">Impacto potencial (ES):</w:t>
      </w:r>
      <w:r>
        <w:t xml:space="preserve"> </w:t>
      </w:r>
      <w:r>
        <w:t xml:space="preserve">- Reduce gaming/Goodhart en sistemas críticos (SRE, salud, finanzas) con control de riesgo.</w:t>
      </w:r>
      <w:r>
        <w:t xml:space="preserve"> </w:t>
      </w:r>
      <w:r>
        <w:t xml:space="preserve">- IPG auditable facilita cumplimiento y auditorías externas.</w:t>
      </w:r>
    </w:p>
    <w:p>
      <w:pPr>
        <w:pStyle w:val="BodyText"/>
      </w:pPr>
      <w:r>
        <w:rPr>
          <w:b/>
          <w:bCs/>
        </w:rPr>
        <w:t xml:space="preserve">Comparativa TUI vs Aplicada IA (resumen rápido)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47"/>
        <w:gridCol w:w="2388"/>
        <w:gridCol w:w="2095"/>
        <w:gridCol w:w="238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Aspecto</w:t>
            </w:r>
          </w:p>
        </w:tc>
        <w:tc>
          <w:tcPr/>
          <w:p>
            <w:pPr>
              <w:pStyle w:val="Compact"/>
            </w:pPr>
            <w:r>
              <w:t xml:space="preserve">TUI v4.2</w:t>
            </w:r>
          </w:p>
        </w:tc>
        <w:tc>
          <w:tcPr/>
          <w:p>
            <w:pPr>
              <w:pStyle w:val="Compact"/>
            </w:pPr>
            <w:r>
              <w:t xml:space="preserve">Aplicada IA v4.2</w:t>
            </w:r>
          </w:p>
        </w:tc>
        <w:tc>
          <w:tcPr/>
          <w:p>
            <w:pPr>
              <w:pStyle w:val="Compact"/>
            </w:pPr>
            <w:r>
              <w:t xml:space="preserve">Sinergia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Objeto</w:t>
            </w:r>
          </w:p>
        </w:tc>
        <w:tc>
          <w:tcPr/>
          <w:p>
            <w:pPr>
              <w:pStyle w:val="Compact"/>
            </w:pPr>
            <w:r>
              <w:t xml:space="preserve">Marco teórico de inteligencia operativa bajo riesgo</w:t>
            </w:r>
          </w:p>
        </w:tc>
        <w:tc>
          <w:tcPr/>
          <w:p>
            <w:pPr>
              <w:pStyle w:val="Compact"/>
            </w:pPr>
            <w:r>
              <w:t xml:space="preserve">Ingeniería de IA segura (Camino C, anti-Goodhart)</w:t>
            </w:r>
          </w:p>
        </w:tc>
        <w:tc>
          <w:tcPr/>
          <w:p>
            <w:pPr>
              <w:pStyle w:val="Compact"/>
            </w:pPr>
            <w:r>
              <w:t xml:space="preserve">Aplicada usa definiciones/axiomas de TUI</w:t>
            </w:r>
          </w:p>
        </w:tc>
      </w:tr>
      <w:tr>
        <w:tc>
          <w:tcPr/>
          <w:p>
            <w:pPr>
              <w:pStyle w:val="Compact"/>
            </w:pPr>
            <w:r>
              <w:t xml:space="preserve">Núcleo</w:t>
            </w:r>
          </w:p>
        </w:tc>
        <w:tc>
          <w:tcPr/>
          <w:p>
            <w:pPr>
              <w:pStyle w:val="Compact"/>
            </w:pPr>
            <w:r>
              <w:t xml:space="preserve">H1 refinada: (I_{op}</w:t>
            </w:r>
            <w:r>
              <w:t xml:space="preserve"> </w:t>
            </w:r>
            <w:r>
              <w:t xml:space="preserve">(P_{</w:t>
            </w:r>
            <w:r>
              <w:t xml:space="preserve">})^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Anti-oráculo: LCB + OPE DR + gating + tripwires</w:t>
            </w:r>
          </w:p>
        </w:tc>
        <w:tc>
          <w:tcPr/>
          <w:p>
            <w:pPr>
              <w:pStyle w:val="Compact"/>
            </w:pPr>
            <w:r>
              <w:t xml:space="preserve">H1 informa el diseño de riesgo e IPG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Datos actuales</w:t>
            </w:r>
          </w:p>
        </w:tc>
        <w:tc>
          <w:tcPr/>
          <w:p>
            <w:pPr>
              <w:pStyle w:val="Compact"/>
            </w:pPr>
            <w:r>
              <w:t xml:space="preserve">n≈6 empíricos, correlacional piloto</w:t>
            </w:r>
          </w:p>
        </w:tc>
        <w:tc>
          <w:tcPr/>
          <w:p>
            <w:pPr>
              <w:pStyle w:val="Compact"/>
            </w:pPr>
            <w:r>
              <w:t xml:space="preserve">Demo A/B ilustrativa (10h), sin causal robusta</w:t>
            </w:r>
          </w:p>
        </w:tc>
        <w:tc>
          <w:tcPr/>
          <w:p>
            <w:pPr>
              <w:pStyle w:val="Compact"/>
            </w:pPr>
            <w:r>
              <w:t xml:space="preserve">Métricas I_op/IPG se pueden alinear en futuros ensayos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Próximos pasos</w:t>
            </w:r>
          </w:p>
        </w:tc>
        <w:tc>
          <w:tcPr/>
          <w:p>
            <w:pPr>
              <w:pStyle w:val="Compact"/>
            </w:pPr>
            <w:r>
              <w:t xml:space="preserve">Cohorte n≥20, manipular P_riesgo, validar α/PED</w:t>
            </w:r>
          </w:p>
        </w:tc>
        <w:tc>
          <w:tcPr/>
          <w:p>
            <w:pPr>
              <w:pStyle w:val="Compact"/>
            </w:pPr>
            <w:r>
              <w:t xml:space="preserve">A/B largo con red team, calibrar γ/σ_thr/λ_G, validar IPG</w:t>
            </w:r>
          </w:p>
        </w:tc>
        <w:tc>
          <w:tcPr/>
          <w:p>
            <w:pPr>
              <w:pStyle w:val="Compact"/>
            </w:pPr>
            <w:r>
              <w:t xml:space="preserve">Datos de IA futuros pueden alimentar tablas ilustrativas</w:t>
            </w:r>
          </w:p>
        </w:tc>
      </w:tr>
    </w:tbl>
    <w:p>
      <w:pPr>
        <w:pStyle w:val="BodyText"/>
      </w:pPr>
      <w:r>
        <w:rPr>
          <w:b/>
          <w:bCs/>
        </w:rPr>
        <w:t xml:space="preserve">Referencias rápidas:</w:t>
      </w:r>
      <w:r>
        <w:t xml:space="preserve"> </w:t>
      </w:r>
      <w:r>
        <w:t xml:space="preserve">ver</w:t>
      </w:r>
      <w:r>
        <w:t xml:space="preserve"> </w:t>
      </w:r>
      <w:r>
        <w:rPr>
          <w:rStyle w:val="VerbatimChar"/>
        </w:rPr>
        <w:t xml:space="preserve">TUI/Teoria_Unificada_Inteligencia_v4.2.md</w:t>
      </w:r>
      <w:r>
        <w:t xml:space="preserve"> </w:t>
      </w:r>
      <w:r>
        <w:t xml:space="preserve">(H1, Tablas F) y</w:t>
      </w:r>
      <w:r>
        <w:t xml:space="preserve"> </w:t>
      </w:r>
      <w:r>
        <w:rPr>
          <w:rStyle w:val="VerbatimChar"/>
        </w:rPr>
        <w:t xml:space="preserve">TUI/Teoria_Inteligencia_Aplicada_IA_v4.2.md</w:t>
      </w:r>
      <w:r>
        <w:t xml:space="preserve"> </w:t>
      </w:r>
      <w:r>
        <w:t xml:space="preserve">(anti-oráculo, demo A/B) para detalles completos.</w:t>
      </w:r>
    </w:p>
    <w:bookmarkEnd w:id="12"/>
    <w:bookmarkStart w:id="15" w:name="en"/>
    <w:p>
      <w:pPr>
        <w:pStyle w:val="Heading2"/>
      </w:pPr>
      <w:r>
        <w:t xml:space="preserve">EN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Central thesis:</w:t>
      </w:r>
      <w:r>
        <w:t xml:space="preserve"> </w:t>
      </w:r>
      <w:r>
        <w:t xml:space="preserve">Genuine AI needs “something to lose.” The “Path C” uses IPG plus a pragmatic anti‑oracle (LCB + OPE DR + gating) to align risk with human utility and avoid Goodhart.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Core architecture (anti‑Goodhart):</w:t>
      </w:r>
    </w:p>
    <w:p>
      <w:pPr>
        <w:pStyle w:val="Compact"/>
        <w:numPr>
          <w:ilvl w:val="1"/>
          <w:numId w:val="1004"/>
        </w:numPr>
      </w:pPr>
      <w:r>
        <w:t xml:space="preserve">LCB: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̂"/>
          </m:accPr>
          <m:e>
            <m:r>
              <m:t>U</m:t>
            </m:r>
          </m:e>
        </m:acc>
        <m:r>
          <m:rPr>
            <m:sty m:val="p"/>
          </m:rPr>
          <m:t>−</m:t>
        </m:r>
        <m:r>
          <m:t>γ</m:t>
        </m:r>
        <m:r>
          <m:t>σ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U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(prudence).</w:t>
      </w:r>
      <w:r>
        <w:br/>
      </w:r>
    </w:p>
    <w:p>
      <w:pPr>
        <w:pStyle w:val="Compact"/>
        <w:numPr>
          <w:ilvl w:val="1"/>
          <w:numId w:val="1004"/>
        </w:numPr>
      </w:pPr>
      <w:r>
        <w:t xml:space="preserve">OPE doubly‑robust: off‑policy causal utility.</w:t>
      </w:r>
      <w:r>
        <w:br/>
      </w:r>
    </w:p>
    <w:p>
      <w:pPr>
        <w:pStyle w:val="Compact"/>
        <w:numPr>
          <w:ilvl w:val="1"/>
          <w:numId w:val="1004"/>
        </w:numPr>
      </w:pPr>
      <w:r>
        <w:t xml:space="preserve">Gating: if (</w:t>
      </w:r>
      <w:r>
        <w:t xml:space="preserve">&gt;</w:t>
      </w:r>
      <w:r>
        <w:t xml:space="preserve">_{</w:t>
      </w:r>
      <w:r>
        <w:t xml:space="preserve">}), allow only conservative/NO‑OP actions.</w:t>
      </w:r>
      <w:r>
        <w:br/>
      </w:r>
    </w:p>
    <w:p>
      <w:pPr>
        <w:pStyle w:val="Compact"/>
        <w:numPr>
          <w:ilvl w:val="1"/>
          <w:numId w:val="1004"/>
        </w:numPr>
      </w:pPr>
      <w:r>
        <w:t xml:space="preserve">Tripwires/gaming penalty: (</w:t>
      </w:r>
      <w:r>
        <w:t xml:space="preserve">_G) penalizes gaming signals.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IPG:</w:t>
      </w:r>
      <w:r>
        <w:t xml:space="preserve"> </w:t>
      </w:r>
      <w:r>
        <w:t xml:space="preserve">Operational, auditable metric for Path C; measures operational purpose, not full philosophical purpose; audited via logs + OPE‑DR.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Current evidence:</w:t>
      </w:r>
      <w:r>
        <w:t xml:space="preserve"> </w:t>
      </w:r>
      <w:r>
        <w:t xml:space="preserve">10h A/B demo, flagged as illustrative; validates the anti‑Goodhart architecture, NOT H1/PGF. Needs ≥1000‑episode staging with adaptive red team for strong evidence.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Limitations:</w:t>
      </w:r>
      <w:r>
        <w:t xml:space="preserve"> </w:t>
      </w:r>
      <w:r>
        <w:t xml:space="preserve">Pilot; requires tuning γ, σ_thr, λ_G and validating IPG in controlled real settings.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Next steps:</w:t>
      </w:r>
      <w:r>
        <w:t xml:space="preserve"> </w:t>
      </w:r>
      <w:r>
        <w:t xml:space="preserve">(1) Long A/B with red team and OPE‑DR to measure proxy↔value gap. (2) Preregister thresholds (γ, σ_thr, λ_G) and SRE metrics. (3) Link IPG to P_genuino with real dataset and continuous audit.</w:t>
      </w:r>
    </w:p>
    <w:p>
      <w:pPr>
        <w:pStyle w:val="BlockText"/>
      </w:pPr>
      <w:r>
        <w:rPr>
          <w:b/>
          <w:bCs/>
        </w:rPr>
        <w:t xml:space="preserve">Pilot status:</w:t>
      </w:r>
      <w:r>
        <w:t xml:space="preserve"> </w:t>
      </w:r>
      <w:r>
        <w:t xml:space="preserve">10h A/B demo (illustrative). Strong evidence requires ≥1000 episodes with adaptive red team and OPE‑DR.</w:t>
      </w:r>
    </w:p>
    <w:p>
      <w:pPr>
        <w:pStyle w:val="CaptionedFigure"/>
      </w:pPr>
      <w:r>
        <w:drawing>
          <wp:inline>
            <wp:extent cx="5334000" cy="2773680"/>
            <wp:effectExtent b="0" l="0" r="0" t="0"/>
            <wp:docPr descr="Anti-Goodhart v4.2" title="" id="13" name="Picture"/>
            <a:graphic>
              <a:graphicData uri="http://schemas.openxmlformats.org/drawingml/2006/picture">
                <pic:pic>
                  <pic:nvPicPr>
                    <pic:cNvPr descr="image/anti_goodhart_v4.2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736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Anti-Goodhart v4.2</w:t>
      </w:r>
    </w:p>
    <w:p>
      <w:pPr>
        <w:pStyle w:val="BodyText"/>
      </w:pPr>
      <w:r>
        <w:rPr>
          <w:b/>
          <w:bCs/>
        </w:rPr>
        <w:t xml:space="preserve">Mini diagram (anti-Goodhart, text)</w:t>
      </w:r>
    </w:p>
    <w:p>
      <w:pPr>
        <w:pStyle w:val="SourceCode"/>
      </w:pPr>
      <w:r>
        <w:rPr>
          <w:rStyle w:val="VerbatimChar"/>
        </w:rPr>
        <w:t xml:space="preserve">policy π → Q_hat → Û, σ̂ ──┐</w:t>
      </w:r>
      <w:r>
        <w:br/>
      </w:r>
      <w:r>
        <w:rPr>
          <w:rStyle w:val="VerbatimChar"/>
        </w:rPr>
        <w:t xml:space="preserve">                           ├─ LCB: U_lcb = Û - γσ̂</w:t>
      </w:r>
      <w:r>
        <w:br/>
      </w:r>
      <w:r>
        <w:rPr>
          <w:rStyle w:val="VerbatimChar"/>
        </w:rPr>
        <w:t xml:space="preserve">logs D ── OPE-DR → U_ope ──┘</w:t>
      </w:r>
      <w:r>
        <w:br/>
      </w:r>
      <w:r>
        <w:rPr>
          <w:rStyle w:val="VerbatimChar"/>
        </w:rPr>
        <w:t xml:space="preserve">if σ̂ &gt; σ_thr → NO-OP</w:t>
      </w:r>
      <w:r>
        <w:br/>
      </w:r>
      <w:r>
        <w:rPr>
          <w:rStyle w:val="VerbatimChar"/>
        </w:rPr>
        <w:t xml:space="preserve">if gaming → U_lcb -= λ_G * score</w:t>
      </w:r>
      <w:r>
        <w:br/>
      </w:r>
      <w:r>
        <w:rPr>
          <w:rStyle w:val="VerbatimChar"/>
        </w:rPr>
        <w:t xml:space="preserve">safe action ↔ NO-OP ↔ rollback</w:t>
      </w:r>
    </w:p>
    <w:p>
      <w:pPr>
        <w:pStyle w:val="FirstParagraph"/>
      </w:pPr>
      <w:r>
        <w:rPr>
          <w:b/>
          <w:bCs/>
        </w:rPr>
        <w:t xml:space="preserve">Potential impact (EN):</w:t>
      </w:r>
      <w:r>
        <w:t xml:space="preserve"> </w:t>
      </w:r>
      <w:r>
        <w:t xml:space="preserve">- Mitigates gaming/Goodhart in critical domains (SRE, healthcare, finance) with risk-aware gating.</w:t>
      </w:r>
      <w:r>
        <w:t xml:space="preserve"> </w:t>
      </w:r>
      <w:r>
        <w:t xml:space="preserve">- Auditable IPG supports compliance and external oversight.</w:t>
      </w:r>
    </w:p>
    <w:p>
      <w:pPr>
        <w:pStyle w:val="BodyText"/>
      </w:pPr>
      <w:r>
        <w:rPr>
          <w:b/>
          <w:bCs/>
        </w:rPr>
        <w:t xml:space="preserve">TUI vs Applied AI (quick view)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53"/>
        <w:gridCol w:w="2359"/>
        <w:gridCol w:w="2106"/>
        <w:gridCol w:w="240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TUI v4.2</w:t>
            </w:r>
          </w:p>
        </w:tc>
        <w:tc>
          <w:tcPr/>
          <w:p>
            <w:pPr>
              <w:pStyle w:val="Compact"/>
            </w:pPr>
            <w:r>
              <w:t xml:space="preserve">Applied AI v4.2</w:t>
            </w:r>
          </w:p>
        </w:tc>
        <w:tc>
          <w:tcPr/>
          <w:p>
            <w:pPr>
              <w:pStyle w:val="Compact"/>
            </w:pPr>
            <w:r>
              <w:t xml:space="preserve">Synergy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Theoretical framework: operative intelligence under risk</w:t>
            </w:r>
          </w:p>
        </w:tc>
        <w:tc>
          <w:tcPr/>
          <w:p>
            <w:pPr>
              <w:pStyle w:val="Compact"/>
            </w:pPr>
            <w:r>
              <w:t xml:space="preserve">Engineering: safe AI (Path C, anti-Goodhart)</w:t>
            </w:r>
          </w:p>
        </w:tc>
        <w:tc>
          <w:tcPr/>
          <w:p>
            <w:pPr>
              <w:pStyle w:val="Compact"/>
            </w:pPr>
            <w:r>
              <w:t xml:space="preserve">Applied reuses TUI definitions/axioms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Core</w:t>
            </w:r>
          </w:p>
        </w:tc>
        <w:tc>
          <w:tcPr/>
          <w:p>
            <w:pPr>
              <w:pStyle w:val="Compact"/>
            </w:pPr>
            <w:r>
              <w:t xml:space="preserve">H1 refined: (I_{op}</w:t>
            </w:r>
            <w:r>
              <w:t xml:space="preserve"> </w:t>
            </w:r>
            <w:r>
              <w:t xml:space="preserve">(P_{</w:t>
            </w:r>
            <w:r>
              <w:t xml:space="preserve">})^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Anti-oracle: LCB + OPE DR + gating + tripwires</w:t>
            </w:r>
          </w:p>
        </w:tc>
        <w:tc>
          <w:tcPr/>
          <w:p>
            <w:pPr>
              <w:pStyle w:val="Compact"/>
            </w:pPr>
            <w:r>
              <w:t xml:space="preserve">H1 guides risk/IPG design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Current data</w:t>
            </w:r>
          </w:p>
        </w:tc>
        <w:tc>
          <w:tcPr/>
          <w:p>
            <w:pPr>
              <w:pStyle w:val="Compact"/>
            </w:pPr>
            <w:r>
              <w:t xml:space="preserve">n≈6 empirical, pilot correlation</w:t>
            </w:r>
          </w:p>
        </w:tc>
        <w:tc>
          <w:tcPr/>
          <w:p>
            <w:pPr>
              <w:pStyle w:val="Compact"/>
            </w:pPr>
            <w:r>
              <w:t xml:space="preserve">10h A/B demo, illustrative, not causal</w:t>
            </w:r>
          </w:p>
        </w:tc>
        <w:tc>
          <w:tcPr/>
          <w:p>
            <w:pPr>
              <w:pStyle w:val="Compact"/>
            </w:pPr>
            <w:r>
              <w:t xml:space="preserve">Shared metrics (I_op/IPG) for future cross-checks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Next steps</w:t>
            </w:r>
          </w:p>
        </w:tc>
        <w:tc>
          <w:tcPr/>
          <w:p>
            <w:pPr>
              <w:pStyle w:val="Compact"/>
            </w:pPr>
            <w:r>
              <w:t xml:space="preserve">n≥20 cohort, manipulate P_risk, validate α/PED</w:t>
            </w:r>
          </w:p>
        </w:tc>
        <w:tc>
          <w:tcPr/>
          <w:p>
            <w:pPr>
              <w:pStyle w:val="Compact"/>
            </w:pPr>
            <w:r>
              <w:t xml:space="preserve">Long A/B with red team, tune γ/σ_thr/λ_G, validate IPG</w:t>
            </w:r>
          </w:p>
        </w:tc>
        <w:tc>
          <w:tcPr/>
          <w:p>
            <w:pPr>
              <w:pStyle w:val="Compact"/>
            </w:pPr>
            <w:r>
              <w:t xml:space="preserve">Future AI data can enrich illustrative tables</w:t>
            </w:r>
          </w:p>
        </w:tc>
      </w:tr>
    </w:tbl>
    <w:p>
      <w:pPr>
        <w:pStyle w:val="BodyText"/>
      </w:pPr>
      <w:r>
        <w:rPr>
          <w:b/>
          <w:bCs/>
        </w:rPr>
        <w:t xml:space="preserve">Quick refs:</w:t>
      </w:r>
      <w:r>
        <w:t xml:space="preserve"> </w:t>
      </w:r>
      <w:r>
        <w:t xml:space="preserve">see</w:t>
      </w:r>
      <w:r>
        <w:t xml:space="preserve"> </w:t>
      </w:r>
      <w:r>
        <w:rPr>
          <w:rStyle w:val="VerbatimChar"/>
        </w:rPr>
        <w:t xml:space="preserve">TUI/Teoria_Unificada_Inteligencia_v4.2.md</w:t>
      </w:r>
      <w:r>
        <w:t xml:space="preserve"> </w:t>
      </w:r>
      <w:r>
        <w:t xml:space="preserve">(H1, Tables F) and</w:t>
      </w:r>
      <w:r>
        <w:t xml:space="preserve"> </w:t>
      </w:r>
      <w:r>
        <w:rPr>
          <w:rStyle w:val="VerbatimChar"/>
        </w:rPr>
        <w:t xml:space="preserve">TUI/Teoria_Inteligencia_Aplicada_IA_v4.2.md</w:t>
      </w:r>
      <w:r>
        <w:t xml:space="preserve"> </w:t>
      </w:r>
      <w:r>
        <w:t xml:space="preserve">(anti-oracle, A/B demo) for full details.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2025-11-24T15:24:15Z</dcterms:created>
  <dcterms:modified xsi:type="dcterms:W3CDTF">2025-11-24T15:24:15Z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