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358A" w:rsidRDefault="00BF0789" w:rsidP="002D358A">
      <w:pPr>
        <w:spacing w:before="100" w:beforeAutospacing="1" w:after="100" w:afterAutospacing="1" w:line="276" w:lineRule="auto"/>
        <w:jc w:val="center"/>
        <w:outlineLvl w:val="1"/>
        <w:rPr>
          <w:b/>
          <w:bCs/>
          <w:color w:val="1F4E79" w:themeColor="accent5" w:themeShade="80"/>
          <w:sz w:val="44"/>
          <w:szCs w:val="36"/>
        </w:rPr>
      </w:pPr>
      <w:r w:rsidRPr="00F67947">
        <w:rPr>
          <w:b/>
          <w:bCs/>
          <w:color w:val="1F4E79" w:themeColor="accent5" w:themeShade="80"/>
          <w:sz w:val="44"/>
          <w:szCs w:val="36"/>
        </w:rPr>
        <w:t xml:space="preserve">Proyecto </w:t>
      </w:r>
      <w:r w:rsidR="00A6372E">
        <w:rPr>
          <w:b/>
          <w:bCs/>
          <w:color w:val="1F4E79" w:themeColor="accent5" w:themeShade="80"/>
          <w:sz w:val="44"/>
          <w:szCs w:val="36"/>
        </w:rPr>
        <w:t>5</w:t>
      </w:r>
      <w:r w:rsidRPr="00F67947">
        <w:rPr>
          <w:b/>
          <w:bCs/>
          <w:color w:val="1F4E79" w:themeColor="accent5" w:themeShade="80"/>
          <w:sz w:val="44"/>
          <w:szCs w:val="36"/>
        </w:rPr>
        <w:t>:</w:t>
      </w:r>
    </w:p>
    <w:p w:rsidR="002D358A" w:rsidRPr="00026C5C" w:rsidRDefault="00A6372E" w:rsidP="00026C5C">
      <w:pPr>
        <w:spacing w:before="100" w:beforeAutospacing="1" w:after="100" w:afterAutospacing="1" w:line="276" w:lineRule="auto"/>
        <w:jc w:val="center"/>
        <w:outlineLvl w:val="1"/>
        <w:rPr>
          <w:b/>
          <w:bCs/>
          <w:color w:val="1F4E79" w:themeColor="accent5" w:themeShade="80"/>
          <w:sz w:val="44"/>
          <w:szCs w:val="36"/>
        </w:rPr>
      </w:pPr>
      <w:r>
        <w:rPr>
          <w:b/>
          <w:color w:val="0E4660"/>
          <w:sz w:val="40"/>
          <w:szCs w:val="40"/>
        </w:rPr>
        <w:t>Control y monitorización</w:t>
      </w:r>
      <w:r w:rsidR="002D358A" w:rsidRPr="002D358A">
        <w:rPr>
          <w:b/>
          <w:color w:val="0E4660"/>
          <w:sz w:val="40"/>
          <w:szCs w:val="40"/>
        </w:rPr>
        <w:t xml:space="preserve"> de la calidad del dato </w:t>
      </w:r>
    </w:p>
    <w:p w:rsidR="00A6372E" w:rsidRPr="00A6372E" w:rsidRDefault="00A6372E" w:rsidP="00A6372E">
      <w:pPr>
        <w:pStyle w:val="Titulo1"/>
      </w:pPr>
      <w:r>
        <w:t xml:space="preserve">1. </w:t>
      </w:r>
      <w:r w:rsidRPr="00A6372E">
        <w:t>Establecimiento de procedimientos de medición</w:t>
      </w:r>
    </w:p>
    <w:p w:rsidR="00BD2E91" w:rsidRDefault="00BD2E91" w:rsidP="001610FC">
      <w:pPr>
        <w:pStyle w:val="Ttulo3"/>
        <w:spacing w:line="276" w:lineRule="auto"/>
        <w:jc w:val="both"/>
        <w:rPr>
          <w:b w:val="0"/>
          <w:bCs w:val="0"/>
          <w:sz w:val="24"/>
          <w:szCs w:val="24"/>
        </w:rPr>
      </w:pPr>
      <w:r w:rsidRPr="00BD2E91">
        <w:rPr>
          <w:b w:val="0"/>
          <w:bCs w:val="0"/>
          <w:sz w:val="24"/>
          <w:szCs w:val="24"/>
        </w:rPr>
        <w:t xml:space="preserve">Para asegurar que los datos de </w:t>
      </w:r>
      <w:proofErr w:type="spellStart"/>
      <w:r w:rsidRPr="00BD2E91">
        <w:rPr>
          <w:b w:val="0"/>
          <w:bCs w:val="0"/>
          <w:sz w:val="24"/>
          <w:szCs w:val="24"/>
        </w:rPr>
        <w:t>EnergiTech</w:t>
      </w:r>
      <w:proofErr w:type="spellEnd"/>
      <w:r w:rsidRPr="00BD2E91">
        <w:rPr>
          <w:b w:val="0"/>
          <w:bCs w:val="0"/>
          <w:sz w:val="24"/>
          <w:szCs w:val="24"/>
        </w:rPr>
        <w:t xml:space="preserve"> sean un activo fiable, se han definido procedimientos operativos que transforman las métricas en acciones de gestión.</w:t>
      </w:r>
    </w:p>
    <w:p w:rsidR="00A6372E" w:rsidRPr="00A6372E" w:rsidRDefault="00A6372E" w:rsidP="00A6372E">
      <w:pPr>
        <w:pStyle w:val="Ttulo3"/>
        <w:rPr>
          <w:color w:val="5B9BD5" w:themeColor="accent5"/>
        </w:rPr>
      </w:pPr>
      <w:r w:rsidRPr="00A6372E">
        <w:rPr>
          <w:color w:val="5B9BD5" w:themeColor="accent5"/>
        </w:rPr>
        <w:t xml:space="preserve">1. Procedimiento de </w:t>
      </w:r>
      <w:r w:rsidR="001610FC">
        <w:rPr>
          <w:color w:val="5B9BD5" w:themeColor="accent5"/>
        </w:rPr>
        <w:t>m</w:t>
      </w:r>
      <w:r w:rsidRPr="00A6372E">
        <w:rPr>
          <w:color w:val="5B9BD5" w:themeColor="accent5"/>
        </w:rPr>
        <w:t xml:space="preserve">edición de Unicidad </w:t>
      </w:r>
    </w:p>
    <w:p w:rsidR="00BD2E91" w:rsidRPr="00BD2E91" w:rsidRDefault="00BD2E91" w:rsidP="001610FC">
      <w:pPr>
        <w:spacing w:before="100" w:beforeAutospacing="1" w:after="100" w:afterAutospacing="1" w:line="276" w:lineRule="auto"/>
        <w:jc w:val="both"/>
      </w:pPr>
      <w:r w:rsidRPr="00BD2E91">
        <w:t xml:space="preserve">Este procedimiento garantiza la existencia de un </w:t>
      </w:r>
      <w:r>
        <w:t xml:space="preserve">Golden Record </w:t>
      </w:r>
      <w:r w:rsidRPr="00BD2E91">
        <w:t>único por cliente, evitando duplicidades que distorsionen los informes comerciales.</w:t>
      </w:r>
    </w:p>
    <w:p w:rsidR="00BD2E91" w:rsidRPr="00BD2E91" w:rsidRDefault="00BD2E91" w:rsidP="00903B03">
      <w:pPr>
        <w:numPr>
          <w:ilvl w:val="0"/>
          <w:numId w:val="2"/>
        </w:numPr>
        <w:spacing w:before="100" w:beforeAutospacing="1" w:after="100" w:afterAutospacing="1" w:line="276" w:lineRule="auto"/>
        <w:jc w:val="both"/>
      </w:pPr>
      <w:r w:rsidRPr="00BD2E91">
        <w:rPr>
          <w:b/>
          <w:bCs/>
        </w:rPr>
        <w:t>Método de Medición</w:t>
      </w:r>
      <w:r w:rsidRPr="00BD2E91">
        <w:t xml:space="preserve">: Se basa en el perfilado de datos mediante un script SQL que identifica </w:t>
      </w:r>
      <w:proofErr w:type="spellStart"/>
      <w:r w:rsidRPr="00BD2E91">
        <w:t>NIFs</w:t>
      </w:r>
      <w:proofErr w:type="spellEnd"/>
      <w:r w:rsidRPr="00BD2E91">
        <w:t xml:space="preserve"> duplicados en la tabla maestra</w:t>
      </w:r>
      <w:r>
        <w:t xml:space="preserve"> de clientes</w:t>
      </w:r>
      <w:r w:rsidRPr="00BD2E91">
        <w:t>.</w:t>
      </w:r>
    </w:p>
    <w:p w:rsidR="00BD2E91" w:rsidRPr="00BD2E91" w:rsidRDefault="00BD2E91" w:rsidP="00903B03">
      <w:pPr>
        <w:numPr>
          <w:ilvl w:val="0"/>
          <w:numId w:val="2"/>
        </w:numPr>
        <w:spacing w:before="100" w:beforeAutospacing="1" w:after="100" w:afterAutospacing="1" w:line="276" w:lineRule="auto"/>
        <w:jc w:val="both"/>
      </w:pPr>
      <w:r w:rsidRPr="00BD2E91">
        <w:rPr>
          <w:b/>
          <w:bCs/>
        </w:rPr>
        <w:t>Responsable y Frecuencia</w:t>
      </w:r>
      <w:r w:rsidRPr="00BD2E91">
        <w:t xml:space="preserve">: El </w:t>
      </w:r>
      <w:r w:rsidRPr="00BD2E91">
        <w:rPr>
          <w:b/>
          <w:bCs/>
        </w:rPr>
        <w:t xml:space="preserve">Data </w:t>
      </w:r>
      <w:proofErr w:type="spellStart"/>
      <w:r w:rsidRPr="00BD2E91">
        <w:rPr>
          <w:b/>
          <w:bCs/>
        </w:rPr>
        <w:t>Steward</w:t>
      </w:r>
      <w:proofErr w:type="spellEnd"/>
      <w:r w:rsidRPr="00BD2E91">
        <w:t xml:space="preserve"> supervisará la ejecución semanal</w:t>
      </w:r>
      <w:r>
        <w:t xml:space="preserve">, </w:t>
      </w:r>
      <w:r w:rsidRPr="00BD2E91">
        <w:t>cada domingo</w:t>
      </w:r>
      <w:r>
        <w:t xml:space="preserve">, </w:t>
      </w:r>
      <w:r w:rsidRPr="00BD2E91">
        <w:t xml:space="preserve">tras </w:t>
      </w:r>
      <w:r>
        <w:t xml:space="preserve">los procesos de integración y consolidar las </w:t>
      </w:r>
      <w:r w:rsidRPr="00BD2E91">
        <w:t>fuentes.</w:t>
      </w:r>
    </w:p>
    <w:p w:rsidR="00BD2E91" w:rsidRDefault="00BD2E91" w:rsidP="00903B03">
      <w:pPr>
        <w:pStyle w:val="NormalWeb"/>
        <w:numPr>
          <w:ilvl w:val="0"/>
          <w:numId w:val="2"/>
        </w:numPr>
        <w:spacing w:line="276" w:lineRule="auto"/>
        <w:jc w:val="both"/>
      </w:pPr>
      <w:r>
        <w:rPr>
          <w:b/>
          <w:bCs/>
        </w:rPr>
        <w:t>Pasos del Procedimiento</w:t>
      </w:r>
      <w:r>
        <w:t>:</w:t>
      </w:r>
    </w:p>
    <w:p w:rsidR="00BD2E91" w:rsidRDefault="00BD2E91" w:rsidP="00903B03">
      <w:pPr>
        <w:pStyle w:val="NormalWeb"/>
        <w:numPr>
          <w:ilvl w:val="1"/>
          <w:numId w:val="2"/>
        </w:numPr>
        <w:spacing w:line="276" w:lineRule="auto"/>
        <w:jc w:val="both"/>
      </w:pPr>
      <w:r>
        <w:rPr>
          <w:b/>
          <w:bCs/>
        </w:rPr>
        <w:t>Extracción</w:t>
      </w:r>
      <w:r>
        <w:t>: Se seleccionan todos los registros activos de la tabla maestra.</w:t>
      </w:r>
    </w:p>
    <w:p w:rsidR="001610FC" w:rsidRDefault="00BD2E91" w:rsidP="00903B03">
      <w:pPr>
        <w:pStyle w:val="NormalWeb"/>
        <w:numPr>
          <w:ilvl w:val="1"/>
          <w:numId w:val="2"/>
        </w:numPr>
        <w:spacing w:line="276" w:lineRule="auto"/>
        <w:jc w:val="both"/>
      </w:pPr>
      <w:r>
        <w:rPr>
          <w:b/>
          <w:bCs/>
        </w:rPr>
        <w:t>Cálculo</w:t>
      </w:r>
      <w:r>
        <w:t xml:space="preserve">: </w:t>
      </w:r>
      <w:r w:rsidRPr="00BD2E91">
        <w:t>El sistema calcula el porcentaje de registros repetidos sobre el total</w:t>
      </w:r>
      <w:r>
        <w:t xml:space="preserve">. Se ejecuta una consulta de agregación para identificar </w:t>
      </w:r>
      <w:proofErr w:type="spellStart"/>
      <w:r>
        <w:t>NIFs</w:t>
      </w:r>
      <w:proofErr w:type="spellEnd"/>
      <w:r>
        <w:t xml:space="preserve"> repetidos:</w:t>
      </w:r>
    </w:p>
    <w:p w:rsidR="00BD2E91" w:rsidRPr="001610FC" w:rsidRDefault="00BD2E91" w:rsidP="001610FC">
      <w:pPr>
        <w:pStyle w:val="NormalWeb"/>
        <w:spacing w:line="276" w:lineRule="auto"/>
        <w:ind w:left="1440"/>
        <w:jc w:val="both"/>
        <w:rPr>
          <w:lang w:val="en-US"/>
        </w:rPr>
      </w:pPr>
      <w:r w:rsidRPr="001610FC">
        <w:rPr>
          <w:rStyle w:val="CdigoHTML"/>
          <w:lang w:val="en-US"/>
        </w:rPr>
        <w:t xml:space="preserve">SELECT NIF_CIF, </w:t>
      </w:r>
      <w:proofErr w:type="gramStart"/>
      <w:r w:rsidRPr="001610FC">
        <w:rPr>
          <w:rStyle w:val="CdigoHTML"/>
          <w:lang w:val="en-US"/>
        </w:rPr>
        <w:t>COUNT(</w:t>
      </w:r>
      <w:proofErr w:type="gramEnd"/>
      <w:r w:rsidRPr="001610FC">
        <w:rPr>
          <w:rStyle w:val="CdigoHTML"/>
          <w:lang w:val="en-US"/>
        </w:rPr>
        <w:t>*) FROM MAESTRO_CLIENTES GROUP BY NIF_CIF HAVING COUNT(*) &gt; 1</w:t>
      </w:r>
      <w:r w:rsidRPr="001610FC">
        <w:rPr>
          <w:lang w:val="en-US"/>
        </w:rPr>
        <w:t>.</w:t>
      </w:r>
    </w:p>
    <w:p w:rsidR="00F34B01" w:rsidRDefault="00BD2E91" w:rsidP="00903B03">
      <w:pPr>
        <w:pStyle w:val="NormalWeb"/>
        <w:numPr>
          <w:ilvl w:val="1"/>
          <w:numId w:val="2"/>
        </w:numPr>
        <w:spacing w:line="276" w:lineRule="auto"/>
        <w:jc w:val="both"/>
      </w:pPr>
      <w:r>
        <w:rPr>
          <w:b/>
          <w:bCs/>
        </w:rPr>
        <w:t>Cuantificación</w:t>
      </w:r>
      <w:r>
        <w:t xml:space="preserve">: Se calcula </w:t>
      </w:r>
      <w:proofErr w:type="gramStart"/>
      <w:r>
        <w:t>el ratio</w:t>
      </w:r>
      <w:proofErr w:type="gramEnd"/>
      <w:r>
        <w:t xml:space="preserve"> de error. </w:t>
      </w:r>
    </w:p>
    <w:p w:rsidR="00F34B01" w:rsidRDefault="00E90BA7" w:rsidP="00903B03">
      <w:pPr>
        <w:pStyle w:val="NormalWeb"/>
        <w:numPr>
          <w:ilvl w:val="0"/>
          <w:numId w:val="2"/>
        </w:numPr>
        <w:spacing w:line="276" w:lineRule="auto"/>
        <w:jc w:val="both"/>
      </w:pPr>
      <w:r w:rsidRPr="00F34B01">
        <w:rPr>
          <w:b/>
          <w:bCs/>
        </w:rPr>
        <w:t>Evaluación y Criterio de Decisión</w:t>
      </w:r>
      <w:r w:rsidR="00F34B01" w:rsidRPr="00F34B01">
        <w:t>:</w:t>
      </w:r>
    </w:p>
    <w:p w:rsidR="00F34B01" w:rsidRDefault="00E90BA7" w:rsidP="00903B03">
      <w:pPr>
        <w:pStyle w:val="NormalWeb"/>
        <w:numPr>
          <w:ilvl w:val="1"/>
          <w:numId w:val="2"/>
        </w:numPr>
        <w:spacing w:line="276" w:lineRule="auto"/>
        <w:jc w:val="both"/>
      </w:pPr>
      <w:r w:rsidRPr="00E90BA7">
        <w:t>Se obtiene el valor de calidad v = 100 - Ratio de error.</w:t>
      </w:r>
    </w:p>
    <w:p w:rsidR="00F34B01" w:rsidRPr="00F34B01" w:rsidRDefault="00E90BA7" w:rsidP="00903B03">
      <w:pPr>
        <w:pStyle w:val="NormalWeb"/>
        <w:numPr>
          <w:ilvl w:val="1"/>
          <w:numId w:val="2"/>
        </w:numPr>
        <w:spacing w:line="276" w:lineRule="auto"/>
        <w:jc w:val="both"/>
      </w:pPr>
      <w:r w:rsidRPr="00F34B01">
        <w:rPr>
          <w:b/>
          <w:bCs/>
        </w:rPr>
        <w:t>Nivel 5 (Excelente):</w:t>
      </w:r>
      <w:r w:rsidR="00F34B01">
        <w:t xml:space="preserve"> </w:t>
      </w:r>
      <w:r w:rsidRPr="00E90BA7">
        <w:t xml:space="preserve">v </w:t>
      </w:r>
      <w:r w:rsidR="00F34B01">
        <w:t>&gt;=</w:t>
      </w:r>
      <w:r w:rsidRPr="00E90BA7">
        <w:t xml:space="preserve"> 90 (Error &lt; 10%). </w:t>
      </w:r>
    </w:p>
    <w:p w:rsidR="00F34B01" w:rsidRPr="00C65720" w:rsidRDefault="00E90BA7" w:rsidP="00903B03">
      <w:pPr>
        <w:pStyle w:val="NormalWeb"/>
        <w:numPr>
          <w:ilvl w:val="2"/>
          <w:numId w:val="2"/>
        </w:numPr>
        <w:spacing w:line="276" w:lineRule="auto"/>
        <w:jc w:val="both"/>
      </w:pPr>
      <w:r w:rsidRPr="00C65720">
        <w:rPr>
          <w:iCs/>
        </w:rPr>
        <w:t xml:space="preserve"> Aunque el nivel 5 llega hasta 90, para</w:t>
      </w:r>
      <w:r w:rsidR="00C65720">
        <w:rPr>
          <w:iCs/>
        </w:rPr>
        <w:t xml:space="preserve"> nuestro caso,</w:t>
      </w:r>
      <w:r w:rsidRPr="00C65720">
        <w:rPr>
          <w:iCs/>
        </w:rPr>
        <w:t xml:space="preserve"> </w:t>
      </w:r>
      <w:proofErr w:type="spellStart"/>
      <w:r w:rsidRPr="00C65720">
        <w:rPr>
          <w:iCs/>
        </w:rPr>
        <w:t>EnergiTech</w:t>
      </w:r>
      <w:proofErr w:type="spellEnd"/>
      <w:r w:rsidR="00C65720">
        <w:rPr>
          <w:iCs/>
        </w:rPr>
        <w:t>,</w:t>
      </w:r>
      <w:r w:rsidRPr="00C65720">
        <w:rPr>
          <w:iCs/>
        </w:rPr>
        <w:t xml:space="preserve"> el objetivo operativo es mantenerse por encima de 99.</w:t>
      </w:r>
    </w:p>
    <w:p w:rsidR="00E90BA7" w:rsidRPr="00E90BA7" w:rsidRDefault="00E90BA7" w:rsidP="00903B03">
      <w:pPr>
        <w:pStyle w:val="NormalWeb"/>
        <w:numPr>
          <w:ilvl w:val="0"/>
          <w:numId w:val="2"/>
        </w:numPr>
        <w:spacing w:line="276" w:lineRule="auto"/>
        <w:jc w:val="both"/>
      </w:pPr>
      <w:r w:rsidRPr="00F34B01">
        <w:rPr>
          <w:b/>
          <w:bCs/>
        </w:rPr>
        <w:t>Protocolo de Respuesta:</w:t>
      </w:r>
      <w:r w:rsidRPr="00E90BA7">
        <w:t xml:space="preserve"> Si el activo cae a </w:t>
      </w:r>
      <w:r w:rsidRPr="00F34B01">
        <w:rPr>
          <w:b/>
          <w:bCs/>
        </w:rPr>
        <w:t xml:space="preserve">Nivel </w:t>
      </w:r>
      <w:r w:rsidR="00F34B01">
        <w:rPr>
          <w:b/>
          <w:bCs/>
        </w:rPr>
        <w:t>4</w:t>
      </w:r>
      <w:r w:rsidRPr="00F34B01">
        <w:rPr>
          <w:b/>
          <w:bCs/>
        </w:rPr>
        <w:t xml:space="preserve"> o inferior</w:t>
      </w:r>
      <w:r w:rsidRPr="00E90BA7">
        <w:t xml:space="preserve">, se detienen las campañas de marketing automático y se activa la </w:t>
      </w:r>
      <w:proofErr w:type="spellStart"/>
      <w:r w:rsidRPr="00E90BA7">
        <w:t>deduplicación</w:t>
      </w:r>
      <w:proofErr w:type="spellEnd"/>
      <w:r w:rsidRPr="00E90BA7">
        <w:t xml:space="preserve"> manual para recuperar el Nivel 5.</w:t>
      </w:r>
    </w:p>
    <w:p w:rsidR="00062887" w:rsidRDefault="00062887" w:rsidP="00062887">
      <w:pPr>
        <w:pStyle w:val="NormalWeb"/>
        <w:spacing w:line="276" w:lineRule="auto"/>
        <w:ind w:left="720"/>
        <w:jc w:val="both"/>
      </w:pPr>
    </w:p>
    <w:p w:rsidR="00A6372E" w:rsidRPr="001610FC" w:rsidRDefault="00A6372E" w:rsidP="00A6372E">
      <w:pPr>
        <w:pStyle w:val="Ttulo3"/>
        <w:rPr>
          <w:color w:val="5B9BD5" w:themeColor="accent5"/>
        </w:rPr>
      </w:pPr>
      <w:r w:rsidRPr="001610FC">
        <w:rPr>
          <w:color w:val="5B9BD5" w:themeColor="accent5"/>
        </w:rPr>
        <w:t xml:space="preserve">2. Procedimiento de </w:t>
      </w:r>
      <w:r w:rsidR="001610FC">
        <w:rPr>
          <w:color w:val="5B9BD5" w:themeColor="accent5"/>
        </w:rPr>
        <w:t>m</w:t>
      </w:r>
      <w:r w:rsidRPr="001610FC">
        <w:rPr>
          <w:color w:val="5B9BD5" w:themeColor="accent5"/>
        </w:rPr>
        <w:t xml:space="preserve">edición de Completitud </w:t>
      </w:r>
      <w:r w:rsidR="001610FC">
        <w:rPr>
          <w:color w:val="5B9BD5" w:themeColor="accent5"/>
        </w:rPr>
        <w:t xml:space="preserve"> </w:t>
      </w:r>
    </w:p>
    <w:p w:rsidR="00062887" w:rsidRDefault="001610FC" w:rsidP="001610FC">
      <w:pPr>
        <w:spacing w:before="100" w:beforeAutospacing="1" w:after="100" w:afterAutospacing="1" w:line="276" w:lineRule="auto"/>
        <w:jc w:val="both"/>
      </w:pPr>
      <w:r>
        <w:t>Este procedimiento a</w:t>
      </w:r>
      <w:r w:rsidRPr="001610FC">
        <w:t>segura que el modelo de IA reciba suficientes lecturas para realizar predicciones de demanda eléctrica precisas.</w:t>
      </w:r>
    </w:p>
    <w:p w:rsidR="00062887" w:rsidRDefault="00062887">
      <w:r>
        <w:br w:type="page"/>
      </w:r>
    </w:p>
    <w:p w:rsidR="001610FC" w:rsidRPr="001610FC" w:rsidRDefault="001610FC" w:rsidP="001610FC">
      <w:pPr>
        <w:spacing w:before="100" w:beforeAutospacing="1" w:after="100" w:afterAutospacing="1" w:line="276" w:lineRule="auto"/>
        <w:jc w:val="both"/>
      </w:pPr>
    </w:p>
    <w:p w:rsidR="001610FC" w:rsidRPr="001610FC" w:rsidRDefault="001610FC" w:rsidP="00903B03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r w:rsidRPr="001610FC">
        <w:rPr>
          <w:b/>
          <w:bCs/>
        </w:rPr>
        <w:t>Método de Medición</w:t>
      </w:r>
      <w:r w:rsidRPr="001610FC">
        <w:t>: Conteo automatizado de valores nulos o campos vacíos en las columnas de consumo diario.</w:t>
      </w:r>
    </w:p>
    <w:p w:rsidR="001610FC" w:rsidRPr="001610FC" w:rsidRDefault="001610FC" w:rsidP="00903B03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r w:rsidRPr="001610FC">
        <w:rPr>
          <w:b/>
          <w:bCs/>
        </w:rPr>
        <w:t>Responsable y Frecuencia</w:t>
      </w:r>
      <w:r w:rsidRPr="001610FC">
        <w:t xml:space="preserve">: El </w:t>
      </w:r>
      <w:r w:rsidRPr="001610FC">
        <w:rPr>
          <w:b/>
          <w:bCs/>
        </w:rPr>
        <w:t>Ingeniero de Datos</w:t>
      </w:r>
      <w:r w:rsidRPr="001610FC">
        <w:t xml:space="preserve"> monitoriza este proceso diariamente tras la carga de datos </w:t>
      </w:r>
      <w:proofErr w:type="spellStart"/>
      <w:r w:rsidRPr="001610FC">
        <w:t>IoT</w:t>
      </w:r>
      <w:proofErr w:type="spellEnd"/>
      <w:r w:rsidRPr="001610FC">
        <w:t xml:space="preserve"> de los contadores.</w:t>
      </w:r>
    </w:p>
    <w:p w:rsidR="002B168F" w:rsidRDefault="002B168F" w:rsidP="00903B03">
      <w:pPr>
        <w:pStyle w:val="NormalWeb"/>
        <w:numPr>
          <w:ilvl w:val="0"/>
          <w:numId w:val="3"/>
        </w:numPr>
        <w:spacing w:line="276" w:lineRule="auto"/>
        <w:jc w:val="both"/>
      </w:pPr>
      <w:r>
        <w:rPr>
          <w:b/>
          <w:bCs/>
        </w:rPr>
        <w:t>Pasos del Procedimiento:</w:t>
      </w:r>
    </w:p>
    <w:p w:rsidR="002B168F" w:rsidRDefault="002B168F" w:rsidP="00903B03">
      <w:pPr>
        <w:pStyle w:val="NormalWeb"/>
        <w:numPr>
          <w:ilvl w:val="1"/>
          <w:numId w:val="3"/>
        </w:numPr>
        <w:spacing w:line="276" w:lineRule="auto"/>
        <w:jc w:val="both"/>
      </w:pPr>
      <w:r>
        <w:rPr>
          <w:b/>
          <w:bCs/>
        </w:rPr>
        <w:t>Perfilado</w:t>
      </w:r>
      <w:r>
        <w:t>: Se realiza un conteo de valores nulos o vacíos en las columnas objetivo del día anterior.</w:t>
      </w:r>
    </w:p>
    <w:p w:rsidR="002B168F" w:rsidRDefault="002B168F" w:rsidP="00903B03">
      <w:pPr>
        <w:pStyle w:val="NormalWeb"/>
        <w:numPr>
          <w:ilvl w:val="1"/>
          <w:numId w:val="3"/>
        </w:numPr>
        <w:spacing w:line="276" w:lineRule="auto"/>
        <w:jc w:val="both"/>
      </w:pPr>
      <w:r>
        <w:rPr>
          <w:b/>
          <w:bCs/>
        </w:rPr>
        <w:t>Cálculo</w:t>
      </w:r>
      <w:r>
        <w:t xml:space="preserve">: Se determina el porcentaje de registros válidos sobre el total esperado. </w:t>
      </w:r>
    </w:p>
    <w:p w:rsidR="00F34B01" w:rsidRDefault="002B168F" w:rsidP="00903B03">
      <w:pPr>
        <w:pStyle w:val="NormalWeb"/>
        <w:numPr>
          <w:ilvl w:val="1"/>
          <w:numId w:val="3"/>
        </w:numPr>
        <w:spacing w:line="276" w:lineRule="auto"/>
        <w:jc w:val="both"/>
      </w:pPr>
      <w:r>
        <w:rPr>
          <w:b/>
          <w:bCs/>
        </w:rPr>
        <w:t>Análisis de Causa</w:t>
      </w:r>
      <w:r>
        <w:t>: Si faltan datos, se verifica si es un fallo de comunicación del sensor o un error en la carga (ETL).</w:t>
      </w:r>
    </w:p>
    <w:p w:rsidR="00F34B01" w:rsidRDefault="00F34B01" w:rsidP="00903B03">
      <w:pPr>
        <w:pStyle w:val="NormalWeb"/>
        <w:numPr>
          <w:ilvl w:val="1"/>
          <w:numId w:val="3"/>
        </w:numPr>
        <w:spacing w:line="276" w:lineRule="auto"/>
        <w:jc w:val="both"/>
      </w:pPr>
      <w:r w:rsidRPr="00F34B01">
        <w:rPr>
          <w:b/>
          <w:bCs/>
        </w:rPr>
        <w:t>Categorización:</w:t>
      </w:r>
      <w:r>
        <w:t xml:space="preserve"> El porcentaje de registros válidos se asigna directamente como valor </w:t>
      </w:r>
      <w:r w:rsidRPr="00F34B01">
        <w:rPr>
          <w:rStyle w:val="math-inline"/>
          <w:rFonts w:eastAsiaTheme="majorEastAsia"/>
        </w:rPr>
        <w:t>v</w:t>
      </w:r>
      <w:r>
        <w:t xml:space="preserve"> para determinar el nivel de calidad.</w:t>
      </w:r>
    </w:p>
    <w:p w:rsidR="00F34B01" w:rsidRPr="00F34B01" w:rsidRDefault="002B168F" w:rsidP="00903B03">
      <w:pPr>
        <w:pStyle w:val="NormalWeb"/>
        <w:numPr>
          <w:ilvl w:val="0"/>
          <w:numId w:val="3"/>
        </w:numPr>
        <w:spacing w:line="276" w:lineRule="auto"/>
        <w:jc w:val="both"/>
      </w:pPr>
      <w:r w:rsidRPr="00F34B01">
        <w:rPr>
          <w:b/>
          <w:bCs/>
        </w:rPr>
        <w:t xml:space="preserve">Evaluación </w:t>
      </w:r>
      <w:r w:rsidR="00F34B01" w:rsidRPr="00F34B01">
        <w:rPr>
          <w:b/>
          <w:bCs/>
        </w:rPr>
        <w:t>y</w:t>
      </w:r>
      <w:r w:rsidR="00F34B01">
        <w:rPr>
          <w:b/>
          <w:bCs/>
        </w:rPr>
        <w:t xml:space="preserve"> </w:t>
      </w:r>
      <w:r w:rsidR="00F34B01" w:rsidRPr="00F34B01">
        <w:rPr>
          <w:b/>
          <w:bCs/>
        </w:rPr>
        <w:t>Criterio de Decisión:</w:t>
      </w:r>
    </w:p>
    <w:p w:rsidR="00F34B01" w:rsidRPr="00F34B01" w:rsidRDefault="00F34B01" w:rsidP="00903B03">
      <w:pPr>
        <w:numPr>
          <w:ilvl w:val="1"/>
          <w:numId w:val="3"/>
        </w:numPr>
        <w:spacing w:before="100" w:beforeAutospacing="1" w:after="100" w:afterAutospacing="1" w:line="276" w:lineRule="auto"/>
        <w:jc w:val="both"/>
      </w:pPr>
      <w:r w:rsidRPr="00F34B01">
        <w:rPr>
          <w:b/>
          <w:bCs/>
        </w:rPr>
        <w:t>Nivel 5 (Excelente):</w:t>
      </w:r>
      <w:r w:rsidRPr="00F34B01">
        <w:t xml:space="preserve"> v</w:t>
      </w:r>
      <w:r>
        <w:t xml:space="preserve">&gt;= </w:t>
      </w:r>
      <w:r w:rsidRPr="00F34B01">
        <w:t>90. El modelo de IA opera a pleno rendimiento.</w:t>
      </w:r>
    </w:p>
    <w:p w:rsidR="00F34B01" w:rsidRPr="00F34B01" w:rsidRDefault="00F34B01" w:rsidP="00903B03">
      <w:pPr>
        <w:numPr>
          <w:ilvl w:val="1"/>
          <w:numId w:val="3"/>
        </w:numPr>
        <w:spacing w:before="100" w:beforeAutospacing="1" w:after="100" w:afterAutospacing="1" w:line="276" w:lineRule="auto"/>
        <w:jc w:val="both"/>
      </w:pPr>
      <w:r w:rsidRPr="00F34B01">
        <w:rPr>
          <w:b/>
          <w:bCs/>
        </w:rPr>
        <w:t>Nivel 4 (Muy Bueno):</w:t>
      </w:r>
      <w:r w:rsidRPr="00F34B01">
        <w:t xml:space="preserve"> 75 </w:t>
      </w:r>
      <w:r>
        <w:t>&lt;=</w:t>
      </w:r>
      <w:r w:rsidRPr="00F34B01">
        <w:t xml:space="preserve"> v &lt; 90. Se permite la predicción pero se aplica una técnica de interpolación de datos.</w:t>
      </w:r>
    </w:p>
    <w:p w:rsidR="00F34B01" w:rsidRDefault="00F34B01" w:rsidP="00903B03">
      <w:pPr>
        <w:numPr>
          <w:ilvl w:val="1"/>
          <w:numId w:val="3"/>
        </w:numPr>
        <w:spacing w:before="100" w:beforeAutospacing="1" w:after="100" w:afterAutospacing="1" w:line="276" w:lineRule="auto"/>
        <w:jc w:val="both"/>
      </w:pPr>
      <w:r w:rsidRPr="00F34B01">
        <w:rPr>
          <w:b/>
          <w:bCs/>
        </w:rPr>
        <w:t>Nivel 1-3 (Fallo):</w:t>
      </w:r>
      <w:r w:rsidRPr="00F34B01">
        <w:t xml:space="preserve"> v &lt; 75. La predicción se marca como "Baja Confianza" y se emite una alerta roja en el </w:t>
      </w:r>
      <w:proofErr w:type="spellStart"/>
      <w:r w:rsidRPr="00F34B01">
        <w:t>dashboard</w:t>
      </w:r>
      <w:proofErr w:type="spellEnd"/>
      <w:r w:rsidRPr="00F34B01">
        <w:t>.</w:t>
      </w:r>
    </w:p>
    <w:p w:rsidR="001610FC" w:rsidRPr="001610FC" w:rsidRDefault="001610FC" w:rsidP="00903B03">
      <w:pPr>
        <w:numPr>
          <w:ilvl w:val="0"/>
          <w:numId w:val="3"/>
        </w:numPr>
        <w:spacing w:before="100" w:beforeAutospacing="1" w:after="100" w:afterAutospacing="1" w:line="276" w:lineRule="auto"/>
        <w:jc w:val="both"/>
      </w:pPr>
      <w:r w:rsidRPr="001610FC">
        <w:rPr>
          <w:b/>
          <w:bCs/>
        </w:rPr>
        <w:t>Protocolo de Respuesta</w:t>
      </w:r>
      <w:r w:rsidRPr="001610FC">
        <w:t xml:space="preserve">: </w:t>
      </w:r>
      <w:r w:rsidR="002B168F">
        <w:t>Si e</w:t>
      </w:r>
      <w:r w:rsidRPr="001610FC">
        <w:t xml:space="preserve">l dato se marca como </w:t>
      </w:r>
      <w:r w:rsidR="002B168F">
        <w:t>N</w:t>
      </w:r>
      <w:r w:rsidRPr="001610FC">
        <w:t>o Fiable para evitar que la IA aprenda de registros incompletos se inicia una revisión técnica de la conectividad de los sensores en la zona afectada.</w:t>
      </w:r>
    </w:p>
    <w:p w:rsidR="00A6372E" w:rsidRDefault="00A6372E" w:rsidP="00A6372E"/>
    <w:p w:rsidR="00A6372E" w:rsidRPr="00062887" w:rsidRDefault="00A6372E" w:rsidP="00A6372E">
      <w:pPr>
        <w:pStyle w:val="Ttulo3"/>
        <w:rPr>
          <w:color w:val="5B9BD5" w:themeColor="accent5"/>
        </w:rPr>
      </w:pPr>
      <w:r w:rsidRPr="00062887">
        <w:rPr>
          <w:color w:val="5B9BD5" w:themeColor="accent5"/>
        </w:rPr>
        <w:t xml:space="preserve">3. Procedimiento de </w:t>
      </w:r>
      <w:r w:rsidR="00062887">
        <w:rPr>
          <w:color w:val="5B9BD5" w:themeColor="accent5"/>
        </w:rPr>
        <w:t>m</w:t>
      </w:r>
      <w:r w:rsidRPr="00062887">
        <w:rPr>
          <w:color w:val="5B9BD5" w:themeColor="accent5"/>
        </w:rPr>
        <w:t xml:space="preserve">edición de Consistencia </w:t>
      </w:r>
      <w:r w:rsidR="00062887" w:rsidRPr="00062887">
        <w:rPr>
          <w:color w:val="5B9BD5" w:themeColor="accent5"/>
        </w:rPr>
        <w:t xml:space="preserve"> </w:t>
      </w:r>
    </w:p>
    <w:p w:rsidR="00A6372E" w:rsidRDefault="00062887" w:rsidP="00062887">
      <w:pPr>
        <w:pStyle w:val="NormalWeb"/>
        <w:spacing w:line="276" w:lineRule="auto"/>
        <w:jc w:val="both"/>
      </w:pPr>
      <w:r>
        <w:t>Este procedimiento b</w:t>
      </w:r>
      <w:r w:rsidR="00A6372E">
        <w:t>usca evitar contradicciones entre los sistemas que gestionan la seguridad del suministro</w:t>
      </w:r>
      <w:r>
        <w:t xml:space="preserve">. </w:t>
      </w:r>
    </w:p>
    <w:p w:rsidR="00062887" w:rsidRDefault="00062887" w:rsidP="00903B03">
      <w:pPr>
        <w:pStyle w:val="NormalWeb"/>
        <w:numPr>
          <w:ilvl w:val="0"/>
          <w:numId w:val="4"/>
        </w:numPr>
        <w:spacing w:line="276" w:lineRule="auto"/>
        <w:jc w:val="both"/>
      </w:pPr>
      <w:r>
        <w:rPr>
          <w:b/>
          <w:bCs/>
        </w:rPr>
        <w:t>Método de Medición</w:t>
      </w:r>
      <w:r>
        <w:t>: Auditoría de concordancia mediante un cruce de tablas basado en el código CUPS.</w:t>
      </w:r>
    </w:p>
    <w:p w:rsidR="00062887" w:rsidRDefault="00062887" w:rsidP="00903B03">
      <w:pPr>
        <w:pStyle w:val="NormalWeb"/>
        <w:numPr>
          <w:ilvl w:val="0"/>
          <w:numId w:val="4"/>
        </w:numPr>
        <w:spacing w:line="276" w:lineRule="auto"/>
        <w:jc w:val="both"/>
      </w:pPr>
      <w:r w:rsidRPr="00062887">
        <w:rPr>
          <w:b/>
          <w:bCs/>
        </w:rPr>
        <w:t>Responsable y Frecuencia</w:t>
      </w:r>
      <w:r>
        <w:t xml:space="preserve">: El </w:t>
      </w:r>
      <w:r w:rsidRPr="00062887">
        <w:rPr>
          <w:b/>
          <w:bCs/>
        </w:rPr>
        <w:t>Responsable de Operaciones de Red</w:t>
      </w:r>
      <w:r>
        <w:t xml:space="preserve"> ejecutará este control con periodicidad mensual</w:t>
      </w:r>
      <w:r w:rsidRPr="00062887">
        <w:rPr>
          <w:rFonts w:hAnsi="Symbol"/>
        </w:rPr>
        <w:t>.</w:t>
      </w:r>
    </w:p>
    <w:p w:rsidR="00062887" w:rsidRDefault="00062887" w:rsidP="00903B03">
      <w:pPr>
        <w:pStyle w:val="NormalWeb"/>
        <w:numPr>
          <w:ilvl w:val="0"/>
          <w:numId w:val="4"/>
        </w:numPr>
        <w:spacing w:line="276" w:lineRule="auto"/>
        <w:jc w:val="both"/>
      </w:pPr>
      <w:r w:rsidRPr="00062887">
        <w:rPr>
          <w:b/>
          <w:bCs/>
        </w:rPr>
        <w:t>Pasos del Procedimiento</w:t>
      </w:r>
      <w:r w:rsidRPr="00062887">
        <w:t>:</w:t>
      </w:r>
      <w:r>
        <w:t xml:space="preserve"> </w:t>
      </w:r>
    </w:p>
    <w:p w:rsidR="00062887" w:rsidRDefault="00062887" w:rsidP="00903B03">
      <w:pPr>
        <w:pStyle w:val="NormalWeb"/>
        <w:numPr>
          <w:ilvl w:val="1"/>
          <w:numId w:val="1"/>
        </w:numPr>
        <w:spacing w:line="276" w:lineRule="auto"/>
        <w:jc w:val="both"/>
      </w:pPr>
      <w:r>
        <w:rPr>
          <w:b/>
          <w:bCs/>
        </w:rPr>
        <w:t>Cruce de Datos (</w:t>
      </w:r>
      <w:proofErr w:type="spellStart"/>
      <w:r>
        <w:rPr>
          <w:b/>
          <w:bCs/>
        </w:rPr>
        <w:t>Matching</w:t>
      </w:r>
      <w:proofErr w:type="spellEnd"/>
      <w:r>
        <w:rPr>
          <w:b/>
          <w:bCs/>
        </w:rPr>
        <w:t>)</w:t>
      </w:r>
      <w:r>
        <w:t xml:space="preserve">: Se realiza un </w:t>
      </w:r>
      <w:r>
        <w:rPr>
          <w:rStyle w:val="CdigoHTML"/>
        </w:rPr>
        <w:t>JOIN</w:t>
      </w:r>
      <w:r>
        <w:t xml:space="preserve"> entre la tabla de clientes del ERP y la del GIS usando el código de punto de suministro (CUPS).</w:t>
      </w:r>
    </w:p>
    <w:p w:rsidR="00062887" w:rsidRDefault="00062887" w:rsidP="00903B03">
      <w:pPr>
        <w:pStyle w:val="NormalWeb"/>
        <w:numPr>
          <w:ilvl w:val="1"/>
          <w:numId w:val="1"/>
        </w:numPr>
        <w:spacing w:line="276" w:lineRule="auto"/>
        <w:jc w:val="both"/>
      </w:pPr>
      <w:r>
        <w:rPr>
          <w:b/>
          <w:bCs/>
        </w:rPr>
        <w:t>Identificación de Discrepancias</w:t>
      </w:r>
      <w:r>
        <w:t xml:space="preserve">: Se filtran aquellos registros donde el </w:t>
      </w:r>
      <w:proofErr w:type="spellStart"/>
      <w:r>
        <w:rPr>
          <w:rStyle w:val="CdigoHTML"/>
        </w:rPr>
        <w:t>Flag_Prioridad</w:t>
      </w:r>
      <w:proofErr w:type="spellEnd"/>
      <w:r>
        <w:t xml:space="preserve"> sea 'SÍ' en un sistema y 'NO' en el otro.</w:t>
      </w:r>
    </w:p>
    <w:p w:rsidR="006C5E65" w:rsidRDefault="00062887" w:rsidP="00903B03">
      <w:pPr>
        <w:pStyle w:val="NormalWeb"/>
        <w:numPr>
          <w:ilvl w:val="1"/>
          <w:numId w:val="1"/>
        </w:numPr>
        <w:spacing w:line="276" w:lineRule="auto"/>
        <w:jc w:val="both"/>
      </w:pPr>
      <w:r>
        <w:rPr>
          <w:b/>
          <w:bCs/>
        </w:rPr>
        <w:t>Cálculo</w:t>
      </w:r>
      <w:r>
        <w:t>: Conteo total de discrepancias encontradas.</w:t>
      </w:r>
    </w:p>
    <w:p w:rsidR="006C5E65" w:rsidRPr="006C5E65" w:rsidRDefault="006C5E65" w:rsidP="00903B03">
      <w:pPr>
        <w:pStyle w:val="NormalWeb"/>
        <w:numPr>
          <w:ilvl w:val="0"/>
          <w:numId w:val="1"/>
        </w:numPr>
        <w:spacing w:line="276" w:lineRule="auto"/>
        <w:jc w:val="both"/>
      </w:pPr>
      <w:r w:rsidRPr="006C5E65">
        <w:rPr>
          <w:b/>
          <w:bCs/>
        </w:rPr>
        <w:t xml:space="preserve">Evaluación </w:t>
      </w:r>
      <w:r>
        <w:rPr>
          <w:b/>
          <w:bCs/>
        </w:rPr>
        <w:t xml:space="preserve">y </w:t>
      </w:r>
      <w:r w:rsidRPr="006C5E65">
        <w:rPr>
          <w:b/>
          <w:bCs/>
        </w:rPr>
        <w:t>Criterio de Decisión:</w:t>
      </w:r>
    </w:p>
    <w:p w:rsidR="00C65720" w:rsidRDefault="006C5E65" w:rsidP="00903B03">
      <w:pPr>
        <w:pStyle w:val="NormalWeb"/>
        <w:numPr>
          <w:ilvl w:val="1"/>
          <w:numId w:val="1"/>
        </w:numPr>
        <w:spacing w:line="276" w:lineRule="auto"/>
        <w:jc w:val="both"/>
      </w:pPr>
      <w:r w:rsidRPr="00E90BA7">
        <w:t>Se obtiene el valor de calidad v = 100 - Ratio de error.</w:t>
      </w:r>
    </w:p>
    <w:p w:rsidR="00C65720" w:rsidRDefault="00C65720" w:rsidP="00903B03">
      <w:pPr>
        <w:pStyle w:val="NormalWeb"/>
        <w:numPr>
          <w:ilvl w:val="1"/>
          <w:numId w:val="1"/>
        </w:numPr>
        <w:spacing w:line="276" w:lineRule="auto"/>
        <w:jc w:val="both"/>
      </w:pPr>
      <w:r w:rsidRPr="00F34B01">
        <w:rPr>
          <w:b/>
          <w:bCs/>
        </w:rPr>
        <w:t>Nivel 5 (Excelente):</w:t>
      </w:r>
      <w:r>
        <w:t xml:space="preserve"> </w:t>
      </w:r>
      <w:r w:rsidRPr="00E90BA7">
        <w:t xml:space="preserve">v </w:t>
      </w:r>
      <w:r>
        <w:t>&gt;=</w:t>
      </w:r>
      <w:r w:rsidRPr="00E90BA7">
        <w:t xml:space="preserve"> 90 (Error &lt; 10%). </w:t>
      </w:r>
    </w:p>
    <w:p w:rsidR="00C65720" w:rsidRDefault="00C65720" w:rsidP="00903B03">
      <w:pPr>
        <w:pStyle w:val="NormalWeb"/>
        <w:numPr>
          <w:ilvl w:val="2"/>
          <w:numId w:val="1"/>
        </w:numPr>
        <w:spacing w:line="276" w:lineRule="auto"/>
        <w:jc w:val="both"/>
      </w:pPr>
      <w:r w:rsidRPr="00C65720">
        <w:rPr>
          <w:iCs/>
        </w:rPr>
        <w:lastRenderedPageBreak/>
        <w:t xml:space="preserve">Aunque el nivel 5 llega hasta 90, para nuestro caso, </w:t>
      </w:r>
      <w:proofErr w:type="spellStart"/>
      <w:r w:rsidRPr="00C65720">
        <w:rPr>
          <w:iCs/>
        </w:rPr>
        <w:t>EnergiTech</w:t>
      </w:r>
      <w:proofErr w:type="spellEnd"/>
      <w:r w:rsidRPr="00C65720">
        <w:rPr>
          <w:iCs/>
        </w:rPr>
        <w:t>, el objetivo operativo es mantenerse en el 100%.</w:t>
      </w:r>
      <w:r>
        <w:t xml:space="preserve"> </w:t>
      </w:r>
      <w:r w:rsidR="006C5E65">
        <w:t>Cualquier discrepancia en un cliente crítico se considera un fallo de seguridad grave.</w:t>
      </w:r>
      <w:r>
        <w:t xml:space="preserve"> </w:t>
      </w:r>
    </w:p>
    <w:p w:rsidR="00062887" w:rsidRDefault="006C5E65" w:rsidP="00903B03">
      <w:pPr>
        <w:pStyle w:val="NormalWeb"/>
        <w:numPr>
          <w:ilvl w:val="0"/>
          <w:numId w:val="1"/>
        </w:numPr>
        <w:spacing w:line="276" w:lineRule="auto"/>
        <w:jc w:val="both"/>
      </w:pPr>
      <w:r w:rsidRPr="006C5E65">
        <w:t xml:space="preserve"> </w:t>
      </w:r>
      <w:r w:rsidRPr="00C65720">
        <w:rPr>
          <w:b/>
          <w:bCs/>
        </w:rPr>
        <w:t>Protocolo de Respuesta:</w:t>
      </w:r>
      <w:r w:rsidRPr="006C5E65">
        <w:t xml:space="preserve"> </w:t>
      </w:r>
      <w:r w:rsidR="00C65720">
        <w:t>Ante un</w:t>
      </w:r>
      <w:r w:rsidRPr="006C5E65">
        <w:t xml:space="preserve"> estado </w:t>
      </w:r>
      <w:r w:rsidR="00C65720">
        <w:t xml:space="preserve">inferior al Nivel, </w:t>
      </w:r>
      <w:r w:rsidR="00062887">
        <w:t>se bloquea la publicación de informes de red y se realiza una corrección inmediata en caliente, priorizando siempre la información del sistema técnico sobre el comercial.</w:t>
      </w:r>
    </w:p>
    <w:p w:rsidR="00E16F91" w:rsidRDefault="00E16F91">
      <w:pPr>
        <w:rPr>
          <w:b/>
          <w:bCs/>
          <w:color w:val="4472C4" w:themeColor="accent1"/>
          <w:sz w:val="36"/>
          <w:szCs w:val="27"/>
        </w:rPr>
      </w:pPr>
      <w:bookmarkStart w:id="0" w:name="_GoBack"/>
      <w:bookmarkEnd w:id="0"/>
    </w:p>
    <w:p w:rsidR="00062887" w:rsidRDefault="00062887" w:rsidP="00062887">
      <w:pPr>
        <w:pStyle w:val="Titulo1"/>
      </w:pPr>
      <w:r>
        <w:t>2. Entorno de monitorización y cuadro de mandos</w:t>
      </w:r>
    </w:p>
    <w:p w:rsidR="00C65720" w:rsidRPr="00C65720" w:rsidRDefault="00C65720" w:rsidP="00C65720">
      <w:pPr>
        <w:spacing w:before="100" w:beforeAutospacing="1" w:after="100" w:afterAutospacing="1" w:line="276" w:lineRule="auto"/>
        <w:jc w:val="both"/>
      </w:pPr>
      <w:r w:rsidRPr="00C65720">
        <w:t xml:space="preserve">La ejecución sistemática de los procedimientos anteriores alimenta un </w:t>
      </w:r>
      <w:r w:rsidRPr="00C65720">
        <w:rPr>
          <w:b/>
          <w:bCs/>
        </w:rPr>
        <w:t>entorno de monitorización centralizado</w:t>
      </w:r>
      <w:r w:rsidRPr="00C65720">
        <w:t xml:space="preserve">. Este ecosistema no se limita a la recolección de métricas, sino que actúa como un filtro de </w:t>
      </w:r>
      <w:r w:rsidRPr="00C65720">
        <w:rPr>
          <w:b/>
          <w:bCs/>
        </w:rPr>
        <w:t>aptitud para el uso</w:t>
      </w:r>
      <w:r w:rsidRPr="00C65720">
        <w:t xml:space="preserve">, evaluando en tiempo real si los activos de datos de </w:t>
      </w:r>
      <w:proofErr w:type="spellStart"/>
      <w:r w:rsidRPr="00C65720">
        <w:t>EnergiTech</w:t>
      </w:r>
      <w:proofErr w:type="spellEnd"/>
      <w:r w:rsidRPr="00C65720">
        <w:t xml:space="preserve"> cumplen con los estándares necesarios para la operación crítica y la Inteligencia Artificial.</w:t>
      </w:r>
    </w:p>
    <w:p w:rsidR="00C65720" w:rsidRPr="00C65720" w:rsidRDefault="00C65720" w:rsidP="00C65720">
      <w:pPr>
        <w:spacing w:before="100" w:beforeAutospacing="1" w:after="100" w:afterAutospacing="1" w:line="276" w:lineRule="auto"/>
        <w:jc w:val="both"/>
      </w:pPr>
      <w:r w:rsidRPr="00C65720">
        <w:t xml:space="preserve">Para garantizar una interpretación unificada en toda la organización, el Cuadro de Mandos traduce las métricas técnicas (v) a la </w:t>
      </w:r>
      <w:r w:rsidRPr="00C65720">
        <w:rPr>
          <w:b/>
          <w:bCs/>
        </w:rPr>
        <w:t>escala de madurez institucional (Niveles 1 al 5)</w:t>
      </w:r>
      <w:r w:rsidRPr="00C65720">
        <w:t xml:space="preserve"> según los criterios de decisión establecidos:</w:t>
      </w:r>
    </w:p>
    <w:p w:rsidR="00C65720" w:rsidRPr="00C65720" w:rsidRDefault="00C65720" w:rsidP="00903B03">
      <w:pPr>
        <w:numPr>
          <w:ilvl w:val="0"/>
          <w:numId w:val="5"/>
        </w:numPr>
        <w:spacing w:before="100" w:beforeAutospacing="1" w:after="100" w:afterAutospacing="1" w:line="276" w:lineRule="auto"/>
        <w:jc w:val="both"/>
      </w:pPr>
      <w:r w:rsidRPr="00C65720">
        <w:rPr>
          <w:b/>
          <w:bCs/>
        </w:rPr>
        <w:t>Visualización por Activos (</w:t>
      </w:r>
      <w:proofErr w:type="spellStart"/>
      <w:r w:rsidRPr="00C65720">
        <w:rPr>
          <w:b/>
          <w:bCs/>
        </w:rPr>
        <w:t>KPIs</w:t>
      </w:r>
      <w:proofErr w:type="spellEnd"/>
      <w:r w:rsidRPr="00C65720">
        <w:rPr>
          <w:b/>
          <w:bCs/>
        </w:rPr>
        <w:t xml:space="preserve"> de Salud):</w:t>
      </w:r>
      <w:r w:rsidRPr="00C65720">
        <w:t xml:space="preserve"> El panel principal presenta un indicador numérico y visual para cada dominio de datos (Clientes, Telemetría y Red). Este indicador se calcula mediante la transformación de las tasas de error (TRD, IVL, TEIR) en el valor de calidad v, asignando el nivel correspondiente de la escala (desde </w:t>
      </w:r>
      <w:r w:rsidRPr="00C65720">
        <w:rPr>
          <w:b/>
          <w:bCs/>
        </w:rPr>
        <w:t>Nivel 1: Deficiente</w:t>
      </w:r>
      <w:r w:rsidRPr="00C65720">
        <w:t xml:space="preserve"> hasta </w:t>
      </w:r>
      <w:r w:rsidRPr="00C65720">
        <w:rPr>
          <w:b/>
          <w:bCs/>
        </w:rPr>
        <w:t>Nivel 5: Excelente</w:t>
      </w:r>
      <w:r w:rsidRPr="00C65720">
        <w:t>).</w:t>
      </w:r>
    </w:p>
    <w:p w:rsidR="00C65720" w:rsidRPr="00C65720" w:rsidRDefault="00C65720" w:rsidP="00903B03">
      <w:pPr>
        <w:numPr>
          <w:ilvl w:val="0"/>
          <w:numId w:val="5"/>
        </w:numPr>
        <w:spacing w:before="100" w:beforeAutospacing="1" w:after="100" w:afterAutospacing="1" w:line="276" w:lineRule="auto"/>
        <w:jc w:val="both"/>
      </w:pPr>
      <w:r w:rsidRPr="00C65720">
        <w:rPr>
          <w:b/>
          <w:bCs/>
        </w:rPr>
        <w:t>Gestión Proactiva de Umbrales:</w:t>
      </w:r>
      <w:r w:rsidRPr="00C65720">
        <w:t xml:space="preserve"> El entorno está programado para disparar flujos de trabajo de corrección automáticos y alertas a los Data </w:t>
      </w:r>
      <w:proofErr w:type="spellStart"/>
      <w:r w:rsidRPr="00C65720">
        <w:t>Stewards</w:t>
      </w:r>
      <w:proofErr w:type="spellEnd"/>
      <w:r w:rsidRPr="00C65720">
        <w:t xml:space="preserve"> siempre que un indicador baje del </w:t>
      </w:r>
      <w:r w:rsidRPr="00C65720">
        <w:rPr>
          <w:b/>
          <w:bCs/>
        </w:rPr>
        <w:t>Nivel 4 (Muy Bueno)</w:t>
      </w:r>
      <w:r w:rsidRPr="00C65720">
        <w:t>. Esto permite una intervención temprana antes de que la degradación del dato impacte en la facturación o en la seguridad del suministro.</w:t>
      </w:r>
    </w:p>
    <w:p w:rsidR="00C65720" w:rsidRPr="00C65720" w:rsidRDefault="00C65720" w:rsidP="00903B03">
      <w:pPr>
        <w:numPr>
          <w:ilvl w:val="0"/>
          <w:numId w:val="5"/>
        </w:numPr>
        <w:spacing w:before="100" w:beforeAutospacing="1" w:after="100" w:afterAutospacing="1" w:line="276" w:lineRule="auto"/>
        <w:jc w:val="both"/>
      </w:pPr>
      <w:r w:rsidRPr="00C65720">
        <w:rPr>
          <w:b/>
          <w:bCs/>
        </w:rPr>
        <w:t>Certificación para IA y Toma de Decisiones:</w:t>
      </w:r>
      <w:r w:rsidRPr="00C65720">
        <w:t xml:space="preserve"> Se establece un protocolo de "puerta de enlace" donde solo los conjuntos de datos que alcancen de forma sostenida el </w:t>
      </w:r>
      <w:r w:rsidRPr="00C65720">
        <w:rPr>
          <w:b/>
          <w:bCs/>
        </w:rPr>
        <w:t>Nivel 5 (Excelente)</w:t>
      </w:r>
      <w:r w:rsidRPr="00C65720">
        <w:t xml:space="preserve"> recibirán el sello de </w:t>
      </w:r>
      <w:r w:rsidRPr="00C65720">
        <w:rPr>
          <w:b/>
          <w:bCs/>
        </w:rPr>
        <w:t>'Dato Certificado'</w:t>
      </w:r>
      <w:r w:rsidRPr="00C65720">
        <w:t>. Este sello es un requisito técnico obligatorio para alimentar los modelos de IA de predicción de demanda y los informes de Clientes Críticos.</w:t>
      </w:r>
    </w:p>
    <w:p w:rsidR="00C65720" w:rsidRPr="00C65720" w:rsidRDefault="00E16F91" w:rsidP="00903B03">
      <w:pPr>
        <w:numPr>
          <w:ilvl w:val="0"/>
          <w:numId w:val="5"/>
        </w:numPr>
        <w:spacing w:before="100" w:beforeAutospacing="1" w:after="100" w:afterAutospacing="1" w:line="276" w:lineRule="auto"/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519FB9">
            <wp:simplePos x="0" y="0"/>
            <wp:positionH relativeFrom="column">
              <wp:posOffset>1962642</wp:posOffset>
            </wp:positionH>
            <wp:positionV relativeFrom="paragraph">
              <wp:posOffset>27305</wp:posOffset>
            </wp:positionV>
            <wp:extent cx="4173220" cy="3007995"/>
            <wp:effectExtent l="0" t="0" r="5080" b="1905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emini_Generated_Image_kax5nmkax5nmkax5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628" t="3093" r="15165" b="6779"/>
                    <a:stretch/>
                  </pic:blipFill>
                  <pic:spPr bwMode="auto">
                    <a:xfrm>
                      <a:off x="0" y="0"/>
                      <a:ext cx="4173220" cy="300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5720" w:rsidRPr="00C65720">
        <w:rPr>
          <w:b/>
          <w:bCs/>
        </w:rPr>
        <w:t>Análisis de Tendencias Históricas:</w:t>
      </w:r>
      <w:r w:rsidR="00C65720" w:rsidRPr="00C65720">
        <w:t xml:space="preserve"> El sistema almacena el registro evolutivo de estos niveles, permitiendo identificar si las causas de una baja calidad son puntuales (fallos de sensores) o estructurales (errores en el proceso de registro), facilitando así la mejora continua del sistema.</w:t>
      </w:r>
    </w:p>
    <w:p w:rsidR="00062887" w:rsidRPr="008C34A7" w:rsidRDefault="00C65720" w:rsidP="00E16F91">
      <w:pPr>
        <w:spacing w:before="100" w:beforeAutospacing="1" w:after="100" w:afterAutospacing="1" w:line="276" w:lineRule="auto"/>
        <w:jc w:val="both"/>
      </w:pPr>
      <w:r w:rsidRPr="00C65720">
        <w:t xml:space="preserve">Este enfoque asegura que el control y la monitorización de la calidad de los datos dejen de ser una tarea técnica aislada y se conviertan en una parte integral y estratégica del ciclo de vida del dato en </w:t>
      </w:r>
      <w:proofErr w:type="spellStart"/>
      <w:r w:rsidRPr="00C65720">
        <w:t>EnergiTech</w:t>
      </w:r>
      <w:proofErr w:type="spellEnd"/>
      <w:r w:rsidRPr="00C65720">
        <w:t>, garantizando la máxima seguridad operativa y la confianza de los empleados en el sistema.</w:t>
      </w:r>
    </w:p>
    <w:sectPr w:rsidR="00062887" w:rsidRPr="008C34A7" w:rsidSect="00455BB7">
      <w:headerReference w:type="default" r:id="rId8"/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1FE0" w:rsidRDefault="00081FE0" w:rsidP="00BE673A">
      <w:r>
        <w:separator/>
      </w:r>
    </w:p>
  </w:endnote>
  <w:endnote w:type="continuationSeparator" w:id="0">
    <w:p w:rsidR="00081FE0" w:rsidRDefault="00081FE0" w:rsidP="00BE6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7947" w:rsidRDefault="00F67947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</w:rPr>
      <w:t>2</w:t>
    </w:r>
    <w:r>
      <w:rPr>
        <w:caps/>
        <w:color w:val="4472C4" w:themeColor="accent1"/>
      </w:rPr>
      <w:fldChar w:fldCharType="end"/>
    </w:r>
  </w:p>
  <w:p w:rsidR="00F67947" w:rsidRDefault="00F6794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1FE0" w:rsidRDefault="00081FE0" w:rsidP="00BE673A">
      <w:r>
        <w:separator/>
      </w:r>
    </w:p>
  </w:footnote>
  <w:footnote w:type="continuationSeparator" w:id="0">
    <w:p w:rsidR="00081FE0" w:rsidRDefault="00081FE0" w:rsidP="00BE6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73877" w:rsidRPr="00BE673A" w:rsidRDefault="00C73877" w:rsidP="00BE673A">
    <w:pPr>
      <w:pStyle w:val="Encabezado"/>
      <w:jc w:val="center"/>
    </w:pPr>
    <w:r w:rsidRPr="00BE673A">
      <w:t xml:space="preserve">Gobierno y Calidad del Dato </w:t>
    </w:r>
    <w:r w:rsidRPr="00BE673A">
      <w:tab/>
    </w:r>
    <w:r>
      <w:t xml:space="preserve">           </w:t>
    </w:r>
    <w:r w:rsidRPr="00BE673A">
      <w:tab/>
      <w:t xml:space="preserve">      Juana María Rodríguez García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2E51BE"/>
    <w:multiLevelType w:val="multilevel"/>
    <w:tmpl w:val="67AE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021042"/>
    <w:multiLevelType w:val="multilevel"/>
    <w:tmpl w:val="A85A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85FDF"/>
    <w:multiLevelType w:val="multilevel"/>
    <w:tmpl w:val="7492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A328FF"/>
    <w:multiLevelType w:val="hybridMultilevel"/>
    <w:tmpl w:val="DF8EE86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2F6F8A"/>
    <w:multiLevelType w:val="multilevel"/>
    <w:tmpl w:val="B674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FE9"/>
    <w:rsid w:val="00026C5C"/>
    <w:rsid w:val="00062887"/>
    <w:rsid w:val="00081FE0"/>
    <w:rsid w:val="00093269"/>
    <w:rsid w:val="000C291C"/>
    <w:rsid w:val="00100715"/>
    <w:rsid w:val="001144B2"/>
    <w:rsid w:val="001610FC"/>
    <w:rsid w:val="00164B90"/>
    <w:rsid w:val="001665D1"/>
    <w:rsid w:val="0018297D"/>
    <w:rsid w:val="001C20E5"/>
    <w:rsid w:val="001E62C9"/>
    <w:rsid w:val="0025063F"/>
    <w:rsid w:val="00264FE9"/>
    <w:rsid w:val="00295194"/>
    <w:rsid w:val="002B168F"/>
    <w:rsid w:val="002D358A"/>
    <w:rsid w:val="003B3EE7"/>
    <w:rsid w:val="003C70F3"/>
    <w:rsid w:val="003E5F4A"/>
    <w:rsid w:val="00455BB7"/>
    <w:rsid w:val="00457B22"/>
    <w:rsid w:val="004642A1"/>
    <w:rsid w:val="00464BB4"/>
    <w:rsid w:val="004F3BF0"/>
    <w:rsid w:val="0051113D"/>
    <w:rsid w:val="00564602"/>
    <w:rsid w:val="005E5CC3"/>
    <w:rsid w:val="005F1EEF"/>
    <w:rsid w:val="0060591D"/>
    <w:rsid w:val="00646567"/>
    <w:rsid w:val="00657A17"/>
    <w:rsid w:val="006643FA"/>
    <w:rsid w:val="0066491C"/>
    <w:rsid w:val="006C5E65"/>
    <w:rsid w:val="006E0A90"/>
    <w:rsid w:val="007444D5"/>
    <w:rsid w:val="007A5FFA"/>
    <w:rsid w:val="007B52C3"/>
    <w:rsid w:val="007C3429"/>
    <w:rsid w:val="00825011"/>
    <w:rsid w:val="0086475C"/>
    <w:rsid w:val="008C34A7"/>
    <w:rsid w:val="008C7962"/>
    <w:rsid w:val="008D0DE9"/>
    <w:rsid w:val="008E32D6"/>
    <w:rsid w:val="008E4540"/>
    <w:rsid w:val="008E565F"/>
    <w:rsid w:val="00903B03"/>
    <w:rsid w:val="0095253C"/>
    <w:rsid w:val="0096470F"/>
    <w:rsid w:val="009E0A82"/>
    <w:rsid w:val="009F5271"/>
    <w:rsid w:val="00A00B5F"/>
    <w:rsid w:val="00A120CC"/>
    <w:rsid w:val="00A6372E"/>
    <w:rsid w:val="00A703F1"/>
    <w:rsid w:val="00AA3446"/>
    <w:rsid w:val="00AB5C80"/>
    <w:rsid w:val="00B622DD"/>
    <w:rsid w:val="00BD163C"/>
    <w:rsid w:val="00BD2E91"/>
    <w:rsid w:val="00BE673A"/>
    <w:rsid w:val="00BF0789"/>
    <w:rsid w:val="00C62FF1"/>
    <w:rsid w:val="00C65720"/>
    <w:rsid w:val="00C73877"/>
    <w:rsid w:val="00C7434A"/>
    <w:rsid w:val="00CC5915"/>
    <w:rsid w:val="00D67FFE"/>
    <w:rsid w:val="00DA4245"/>
    <w:rsid w:val="00E16F91"/>
    <w:rsid w:val="00E43344"/>
    <w:rsid w:val="00E743CB"/>
    <w:rsid w:val="00E90BA7"/>
    <w:rsid w:val="00EC5470"/>
    <w:rsid w:val="00ED4E03"/>
    <w:rsid w:val="00F069D2"/>
    <w:rsid w:val="00F250F1"/>
    <w:rsid w:val="00F345AC"/>
    <w:rsid w:val="00F34B01"/>
    <w:rsid w:val="00F67947"/>
    <w:rsid w:val="00F71EAD"/>
    <w:rsid w:val="00FD296D"/>
    <w:rsid w:val="00FE1364"/>
    <w:rsid w:val="00FE1E05"/>
    <w:rsid w:val="00F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36A39"/>
  <w14:defaultImageDpi w14:val="32767"/>
  <w15:chartTrackingRefBased/>
  <w15:docId w15:val="{90FC408D-BC3A-5249-BE1D-E8BB53249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F3BF0"/>
    <w:rPr>
      <w:rFonts w:ascii="Times New Roman" w:eastAsia="Times New Roman" w:hAnsi="Times New Roman" w:cs="Times New Roman"/>
      <w:lang w:val="es-ES"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464BB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BF078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BF07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E1E0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next w:val="Ttulo1"/>
    <w:autoRedefine/>
    <w:qFormat/>
    <w:rsid w:val="00A6372E"/>
    <w:pPr>
      <w:spacing w:before="480" w:after="120" w:line="276" w:lineRule="auto"/>
      <w:jc w:val="both"/>
    </w:pPr>
    <w:rPr>
      <w:rFonts w:ascii="Times New Roman" w:eastAsia="Times New Roman" w:hAnsi="Times New Roman" w:cs="Times New Roman"/>
      <w:b/>
      <w:bCs/>
      <w:color w:val="4472C4" w:themeColor="accent1"/>
      <w:sz w:val="36"/>
      <w:szCs w:val="27"/>
    </w:rPr>
  </w:style>
  <w:style w:type="character" w:customStyle="1" w:styleId="Ttulo1Car">
    <w:name w:val="Título 1 Car"/>
    <w:basedOn w:val="Fuentedeprrafopredeter"/>
    <w:link w:val="Ttulo1"/>
    <w:uiPriority w:val="9"/>
    <w:rsid w:val="00464B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BF0789"/>
    <w:rPr>
      <w:rFonts w:ascii="Times New Roman" w:eastAsia="Times New Roman" w:hAnsi="Times New Roman" w:cs="Times New Roman"/>
      <w:b/>
      <w:bCs/>
      <w:sz w:val="36"/>
      <w:szCs w:val="36"/>
      <w:lang w:val="es-ES"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BF0789"/>
    <w:rPr>
      <w:rFonts w:ascii="Times New Roman" w:eastAsia="Times New Roman" w:hAnsi="Times New Roman" w:cs="Times New Roman"/>
      <w:b/>
      <w:bCs/>
      <w:sz w:val="27"/>
      <w:szCs w:val="27"/>
      <w:lang w:val="es-ES" w:eastAsia="es-ES_tradnl"/>
    </w:rPr>
  </w:style>
  <w:style w:type="paragraph" w:styleId="NormalWeb">
    <w:name w:val="Normal (Web)"/>
    <w:basedOn w:val="Normal"/>
    <w:uiPriority w:val="99"/>
    <w:unhideWhenUsed/>
    <w:rsid w:val="00BF0789"/>
    <w:pPr>
      <w:spacing w:before="100" w:beforeAutospacing="1" w:after="100" w:afterAutospacing="1"/>
    </w:pPr>
  </w:style>
  <w:style w:type="character" w:styleId="CdigoHTML">
    <w:name w:val="HTML Code"/>
    <w:basedOn w:val="Fuentedeprrafopredeter"/>
    <w:uiPriority w:val="99"/>
    <w:semiHidden/>
    <w:unhideWhenUsed/>
    <w:rsid w:val="00BF0789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DA4245"/>
    <w:rPr>
      <w:b/>
      <w:bCs/>
    </w:rPr>
  </w:style>
  <w:style w:type="table" w:styleId="Tablanormal3">
    <w:name w:val="Plain Table 3"/>
    <w:basedOn w:val="Tablanormal"/>
    <w:uiPriority w:val="43"/>
    <w:rsid w:val="00DA424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E743CB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BE673A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E673A"/>
    <w:rPr>
      <w:rFonts w:ascii="Times New Roman" w:hAnsi="Times New Roman" w:cs="Times New Roman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E673A"/>
  </w:style>
  <w:style w:type="paragraph" w:styleId="Piedepgina">
    <w:name w:val="footer"/>
    <w:basedOn w:val="Normal"/>
    <w:link w:val="PiedepginaCar"/>
    <w:uiPriority w:val="99"/>
    <w:unhideWhenUsed/>
    <w:rsid w:val="00BE673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E673A"/>
  </w:style>
  <w:style w:type="paragraph" w:styleId="Prrafodelista">
    <w:name w:val="List Paragraph"/>
    <w:basedOn w:val="Normal"/>
    <w:uiPriority w:val="34"/>
    <w:qFormat/>
    <w:rsid w:val="0096470F"/>
    <w:pPr>
      <w:ind w:left="720"/>
      <w:contextualSpacing/>
    </w:pPr>
  </w:style>
  <w:style w:type="table" w:styleId="Tablanormal2">
    <w:name w:val="Plain Table 2"/>
    <w:basedOn w:val="Tablanormal"/>
    <w:uiPriority w:val="42"/>
    <w:rsid w:val="001C20E5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1">
    <w:name w:val="Plain Table 1"/>
    <w:basedOn w:val="Tablanormal"/>
    <w:uiPriority w:val="41"/>
    <w:rsid w:val="00AB5C8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5F1E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FE1E05"/>
    <w:rPr>
      <w:rFonts w:asciiTheme="majorHAnsi" w:eastAsiaTheme="majorEastAsia" w:hAnsiTheme="majorHAnsi" w:cstheme="majorBidi"/>
      <w:i/>
      <w:iCs/>
      <w:color w:val="2F5496" w:themeColor="accent1" w:themeShade="BF"/>
      <w:lang w:val="es-ES" w:eastAsia="es-ES_tradnl"/>
    </w:rPr>
  </w:style>
  <w:style w:type="character" w:customStyle="1" w:styleId="citation-49">
    <w:name w:val="citation-49"/>
    <w:basedOn w:val="Fuentedeprrafopredeter"/>
    <w:rsid w:val="004642A1"/>
  </w:style>
  <w:style w:type="character" w:customStyle="1" w:styleId="citation-48">
    <w:name w:val="citation-48"/>
    <w:basedOn w:val="Fuentedeprrafopredeter"/>
    <w:rsid w:val="004642A1"/>
  </w:style>
  <w:style w:type="character" w:customStyle="1" w:styleId="citation-47">
    <w:name w:val="citation-47"/>
    <w:basedOn w:val="Fuentedeprrafopredeter"/>
    <w:rsid w:val="004642A1"/>
  </w:style>
  <w:style w:type="character" w:customStyle="1" w:styleId="citation-46">
    <w:name w:val="citation-46"/>
    <w:basedOn w:val="Fuentedeprrafopredeter"/>
    <w:rsid w:val="004642A1"/>
  </w:style>
  <w:style w:type="character" w:customStyle="1" w:styleId="citation-45">
    <w:name w:val="citation-45"/>
    <w:basedOn w:val="Fuentedeprrafopredeter"/>
    <w:rsid w:val="004642A1"/>
  </w:style>
  <w:style w:type="character" w:customStyle="1" w:styleId="citation-44">
    <w:name w:val="citation-44"/>
    <w:basedOn w:val="Fuentedeprrafopredeter"/>
    <w:rsid w:val="004642A1"/>
  </w:style>
  <w:style w:type="character" w:customStyle="1" w:styleId="math-inline">
    <w:name w:val="math-inline"/>
    <w:basedOn w:val="Fuentedeprrafopredeter"/>
    <w:rsid w:val="004642A1"/>
  </w:style>
  <w:style w:type="character" w:customStyle="1" w:styleId="citation-43">
    <w:name w:val="citation-43"/>
    <w:basedOn w:val="Fuentedeprrafopredeter"/>
    <w:rsid w:val="004642A1"/>
  </w:style>
  <w:style w:type="character" w:customStyle="1" w:styleId="citation-42">
    <w:name w:val="citation-42"/>
    <w:basedOn w:val="Fuentedeprrafopredeter"/>
    <w:rsid w:val="004642A1"/>
  </w:style>
  <w:style w:type="character" w:customStyle="1" w:styleId="citation-41">
    <w:name w:val="citation-41"/>
    <w:basedOn w:val="Fuentedeprrafopredeter"/>
    <w:rsid w:val="004642A1"/>
  </w:style>
  <w:style w:type="character" w:customStyle="1" w:styleId="citation-40">
    <w:name w:val="citation-40"/>
    <w:basedOn w:val="Fuentedeprrafopredeter"/>
    <w:rsid w:val="004642A1"/>
  </w:style>
  <w:style w:type="character" w:customStyle="1" w:styleId="citation-71">
    <w:name w:val="citation-71"/>
    <w:basedOn w:val="Fuentedeprrafopredeter"/>
    <w:rsid w:val="00C73877"/>
  </w:style>
  <w:style w:type="character" w:customStyle="1" w:styleId="citation-70">
    <w:name w:val="citation-70"/>
    <w:basedOn w:val="Fuentedeprrafopredeter"/>
    <w:rsid w:val="00C73877"/>
  </w:style>
  <w:style w:type="character" w:customStyle="1" w:styleId="citation-69">
    <w:name w:val="citation-69"/>
    <w:basedOn w:val="Fuentedeprrafopredeter"/>
    <w:rsid w:val="00C73877"/>
  </w:style>
  <w:style w:type="character" w:customStyle="1" w:styleId="citation-68">
    <w:name w:val="citation-68"/>
    <w:basedOn w:val="Fuentedeprrafopredeter"/>
    <w:rsid w:val="00C73877"/>
  </w:style>
  <w:style w:type="character" w:customStyle="1" w:styleId="citation-67">
    <w:name w:val="citation-67"/>
    <w:basedOn w:val="Fuentedeprrafopredeter"/>
    <w:rsid w:val="00C73877"/>
  </w:style>
  <w:style w:type="character" w:customStyle="1" w:styleId="citation-66">
    <w:name w:val="citation-66"/>
    <w:basedOn w:val="Fuentedeprrafopredeter"/>
    <w:rsid w:val="00C73877"/>
  </w:style>
  <w:style w:type="character" w:customStyle="1" w:styleId="citation-110">
    <w:name w:val="citation-110"/>
    <w:basedOn w:val="Fuentedeprrafopredeter"/>
    <w:rsid w:val="004F3BF0"/>
  </w:style>
  <w:style w:type="character" w:customStyle="1" w:styleId="citation-109">
    <w:name w:val="citation-109"/>
    <w:basedOn w:val="Fuentedeprrafopredeter"/>
    <w:rsid w:val="004F3BF0"/>
  </w:style>
  <w:style w:type="character" w:customStyle="1" w:styleId="citation-108">
    <w:name w:val="citation-108"/>
    <w:basedOn w:val="Fuentedeprrafopredeter"/>
    <w:rsid w:val="004F3BF0"/>
  </w:style>
  <w:style w:type="character" w:customStyle="1" w:styleId="citation-443">
    <w:name w:val="citation-443"/>
    <w:basedOn w:val="Fuentedeprrafopredeter"/>
    <w:rsid w:val="0066491C"/>
  </w:style>
  <w:style w:type="character" w:customStyle="1" w:styleId="citation-442">
    <w:name w:val="citation-442"/>
    <w:basedOn w:val="Fuentedeprrafopredeter"/>
    <w:rsid w:val="0066491C"/>
  </w:style>
  <w:style w:type="character" w:customStyle="1" w:styleId="citation-441">
    <w:name w:val="citation-441"/>
    <w:basedOn w:val="Fuentedeprrafopredeter"/>
    <w:rsid w:val="0066491C"/>
  </w:style>
  <w:style w:type="character" w:customStyle="1" w:styleId="citation-440">
    <w:name w:val="citation-440"/>
    <w:basedOn w:val="Fuentedeprrafopredeter"/>
    <w:rsid w:val="008D0DE9"/>
  </w:style>
  <w:style w:type="character" w:customStyle="1" w:styleId="citation-439">
    <w:name w:val="citation-439"/>
    <w:basedOn w:val="Fuentedeprrafopredeter"/>
    <w:rsid w:val="008D0DE9"/>
  </w:style>
  <w:style w:type="character" w:customStyle="1" w:styleId="citation-438">
    <w:name w:val="citation-438"/>
    <w:basedOn w:val="Fuentedeprrafopredeter"/>
    <w:rsid w:val="008D0DE9"/>
  </w:style>
  <w:style w:type="character" w:customStyle="1" w:styleId="citation-437">
    <w:name w:val="citation-437"/>
    <w:basedOn w:val="Fuentedeprrafopredeter"/>
    <w:rsid w:val="008D0DE9"/>
  </w:style>
  <w:style w:type="character" w:customStyle="1" w:styleId="citation-436">
    <w:name w:val="citation-436"/>
    <w:basedOn w:val="Fuentedeprrafopredeter"/>
    <w:rsid w:val="008D0DE9"/>
  </w:style>
  <w:style w:type="character" w:customStyle="1" w:styleId="citation-635">
    <w:name w:val="citation-635"/>
    <w:basedOn w:val="Fuentedeprrafopredeter"/>
    <w:rsid w:val="00F250F1"/>
  </w:style>
  <w:style w:type="character" w:customStyle="1" w:styleId="citation-634">
    <w:name w:val="citation-634"/>
    <w:basedOn w:val="Fuentedeprrafopredeter"/>
    <w:rsid w:val="00F250F1"/>
  </w:style>
  <w:style w:type="character" w:customStyle="1" w:styleId="citation-633">
    <w:name w:val="citation-633"/>
    <w:basedOn w:val="Fuentedeprrafopredeter"/>
    <w:rsid w:val="00F250F1"/>
  </w:style>
  <w:style w:type="character" w:customStyle="1" w:styleId="citation-632">
    <w:name w:val="citation-632"/>
    <w:basedOn w:val="Fuentedeprrafopredeter"/>
    <w:rsid w:val="00F250F1"/>
  </w:style>
  <w:style w:type="character" w:customStyle="1" w:styleId="citation-631">
    <w:name w:val="citation-631"/>
    <w:basedOn w:val="Fuentedeprrafopredeter"/>
    <w:rsid w:val="00F250F1"/>
  </w:style>
  <w:style w:type="character" w:customStyle="1" w:styleId="citation-161">
    <w:name w:val="citation-161"/>
    <w:basedOn w:val="Fuentedeprrafopredeter"/>
    <w:rsid w:val="00657A17"/>
  </w:style>
  <w:style w:type="character" w:customStyle="1" w:styleId="citation-160">
    <w:name w:val="citation-160"/>
    <w:basedOn w:val="Fuentedeprrafopredeter"/>
    <w:rsid w:val="00657A17"/>
  </w:style>
  <w:style w:type="character" w:customStyle="1" w:styleId="citation-159">
    <w:name w:val="citation-159"/>
    <w:basedOn w:val="Fuentedeprrafopredeter"/>
    <w:rsid w:val="00657A17"/>
  </w:style>
  <w:style w:type="character" w:customStyle="1" w:styleId="citation-172">
    <w:name w:val="citation-172"/>
    <w:basedOn w:val="Fuentedeprrafopredeter"/>
    <w:rsid w:val="00657A17"/>
  </w:style>
  <w:style w:type="character" w:customStyle="1" w:styleId="citation-171">
    <w:name w:val="citation-171"/>
    <w:basedOn w:val="Fuentedeprrafopredeter"/>
    <w:rsid w:val="00657A17"/>
  </w:style>
  <w:style w:type="character" w:customStyle="1" w:styleId="citation-170">
    <w:name w:val="citation-170"/>
    <w:basedOn w:val="Fuentedeprrafopredeter"/>
    <w:rsid w:val="00657A17"/>
  </w:style>
  <w:style w:type="table" w:styleId="Tablaconcuadrcula1clara-nfasis5">
    <w:name w:val="Grid Table 1 Light Accent 5"/>
    <w:basedOn w:val="Tablanormal"/>
    <w:uiPriority w:val="46"/>
    <w:rsid w:val="00F67947"/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7concolores-nfasis5">
    <w:name w:val="Grid Table 7 Colorful Accent 5"/>
    <w:basedOn w:val="Tablanormal"/>
    <w:uiPriority w:val="52"/>
    <w:rsid w:val="00F67947"/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F67947"/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Tablaconcuadrcula2-nfasis5">
    <w:name w:val="Grid Table 2 Accent 5"/>
    <w:basedOn w:val="Tablanormal"/>
    <w:uiPriority w:val="47"/>
    <w:rsid w:val="00F67947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Default">
    <w:name w:val="Default"/>
    <w:rsid w:val="002D358A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table" w:styleId="Tablaconcuadrcula4-nfasis5">
    <w:name w:val="Grid Table 4 Accent 5"/>
    <w:basedOn w:val="Tablanormal"/>
    <w:uiPriority w:val="49"/>
    <w:rsid w:val="008E32D6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2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1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4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0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8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5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5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3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1014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cp:lastPrinted>2026-05-02T10:37:00Z</cp:lastPrinted>
  <dcterms:created xsi:type="dcterms:W3CDTF">2026-05-02T10:37:00Z</dcterms:created>
  <dcterms:modified xsi:type="dcterms:W3CDTF">2026-05-02T10:37:00Z</dcterms:modified>
</cp:coreProperties>
</file>