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818A6" w:rsidRPr="00A818A6" w:rsidRDefault="00BF0789" w:rsidP="007A5FFA">
      <w:pPr>
        <w:spacing w:before="100" w:beforeAutospacing="1" w:after="100" w:afterAutospacing="1"/>
        <w:jc w:val="center"/>
        <w:outlineLvl w:val="1"/>
        <w:rPr>
          <w:rFonts w:ascii="Times New Roman" w:eastAsia="Times New Roman" w:hAnsi="Times New Roman" w:cs="Times New Roman"/>
          <w:b/>
          <w:bCs/>
          <w:color w:val="1F4E79" w:themeColor="accent5" w:themeShade="80"/>
          <w:sz w:val="36"/>
          <w:szCs w:val="36"/>
          <w:lang w:val="es-ES" w:eastAsia="es-ES_tradnl"/>
        </w:rPr>
      </w:pPr>
      <w:r w:rsidRPr="00A818A6">
        <w:rPr>
          <w:rFonts w:ascii="Times New Roman" w:eastAsia="Times New Roman" w:hAnsi="Times New Roman" w:cs="Times New Roman"/>
          <w:b/>
          <w:bCs/>
          <w:color w:val="1F4E79" w:themeColor="accent5" w:themeShade="80"/>
          <w:sz w:val="36"/>
          <w:szCs w:val="36"/>
          <w:lang w:val="es-ES" w:eastAsia="es-ES_tradnl"/>
        </w:rPr>
        <w:t xml:space="preserve">Proyecto 1: </w:t>
      </w:r>
    </w:p>
    <w:p w:rsidR="00BF0789" w:rsidRPr="00A818A6" w:rsidRDefault="00BF0789" w:rsidP="007A5FFA">
      <w:pPr>
        <w:spacing w:before="100" w:beforeAutospacing="1" w:after="100" w:afterAutospacing="1"/>
        <w:jc w:val="center"/>
        <w:outlineLvl w:val="1"/>
        <w:rPr>
          <w:rFonts w:ascii="Times New Roman" w:eastAsia="Times New Roman" w:hAnsi="Times New Roman" w:cs="Times New Roman"/>
          <w:b/>
          <w:bCs/>
          <w:color w:val="1F4E79" w:themeColor="accent5" w:themeShade="80"/>
          <w:sz w:val="36"/>
          <w:szCs w:val="36"/>
          <w:lang w:val="es-ES" w:eastAsia="es-ES_tradnl"/>
        </w:rPr>
      </w:pPr>
      <w:r w:rsidRPr="00A818A6">
        <w:rPr>
          <w:rFonts w:ascii="Times New Roman" w:eastAsia="Times New Roman" w:hAnsi="Times New Roman" w:cs="Times New Roman"/>
          <w:b/>
          <w:bCs/>
          <w:color w:val="1F4E79" w:themeColor="accent5" w:themeShade="80"/>
          <w:sz w:val="36"/>
          <w:szCs w:val="36"/>
          <w:lang w:val="es-ES" w:eastAsia="es-ES_tradnl"/>
        </w:rPr>
        <w:t>Procesamiento del Dato y Gestión de Requisitos</w:t>
      </w:r>
    </w:p>
    <w:p w:rsidR="00BF0789" w:rsidRPr="00A818A6" w:rsidRDefault="00BF0789" w:rsidP="00BF0789">
      <w:pPr>
        <w:spacing w:before="100" w:beforeAutospacing="1" w:after="100" w:afterAutospacing="1"/>
        <w:jc w:val="both"/>
        <w:outlineLvl w:val="2"/>
        <w:rPr>
          <w:rFonts w:ascii="Times New Roman" w:eastAsia="Times New Roman" w:hAnsi="Times New Roman" w:cs="Times New Roman"/>
          <w:b/>
          <w:bCs/>
          <w:color w:val="1F4E79" w:themeColor="accent5" w:themeShade="80"/>
          <w:sz w:val="28"/>
          <w:szCs w:val="27"/>
          <w:lang w:val="es-ES" w:eastAsia="es-ES_tradnl"/>
        </w:rPr>
      </w:pPr>
      <w:r w:rsidRPr="00A818A6">
        <w:rPr>
          <w:rFonts w:ascii="Times New Roman" w:eastAsia="Times New Roman" w:hAnsi="Times New Roman" w:cs="Times New Roman"/>
          <w:b/>
          <w:bCs/>
          <w:color w:val="1F4E79" w:themeColor="accent5" w:themeShade="80"/>
          <w:sz w:val="28"/>
          <w:szCs w:val="27"/>
          <w:lang w:val="es-ES" w:eastAsia="es-ES_tradnl"/>
        </w:rPr>
        <w:t>1. Introducción</w:t>
      </w:r>
    </w:p>
    <w:p w:rsidR="00BF0789" w:rsidRPr="00BF0789" w:rsidRDefault="00BF0789" w:rsidP="00A818A6">
      <w:pPr>
        <w:spacing w:before="100" w:beforeAutospacing="1" w:after="100" w:afterAutospacing="1" w:line="276" w:lineRule="auto"/>
        <w:jc w:val="both"/>
        <w:rPr>
          <w:rFonts w:ascii="Times New Roman" w:eastAsia="Times New Roman" w:hAnsi="Times New Roman" w:cs="Times New Roman"/>
          <w:lang w:val="es-ES" w:eastAsia="es-ES_tradnl"/>
        </w:rPr>
      </w:pPr>
      <w:r w:rsidRPr="00BF0789">
        <w:rPr>
          <w:rFonts w:ascii="Times New Roman" w:eastAsia="Times New Roman" w:hAnsi="Times New Roman" w:cs="Times New Roman"/>
          <w:lang w:val="es-ES" w:eastAsia="es-ES_tradnl"/>
        </w:rPr>
        <w:t xml:space="preserve">El presente documento recoge la fase inicial de la iniciativa estratégica de </w:t>
      </w:r>
      <w:proofErr w:type="spellStart"/>
      <w:r w:rsidRPr="00BF0789">
        <w:rPr>
          <w:rFonts w:ascii="Times New Roman" w:eastAsia="Times New Roman" w:hAnsi="Times New Roman" w:cs="Times New Roman"/>
          <w:b/>
          <w:bCs/>
          <w:lang w:val="es-ES" w:eastAsia="es-ES_tradnl"/>
        </w:rPr>
        <w:t>EnergiTech</w:t>
      </w:r>
      <w:proofErr w:type="spellEnd"/>
      <w:r w:rsidRPr="00BF0789">
        <w:rPr>
          <w:rFonts w:ascii="Times New Roman" w:eastAsia="Times New Roman" w:hAnsi="Times New Roman" w:cs="Times New Roman"/>
          <w:lang w:val="es-ES" w:eastAsia="es-ES_tradnl"/>
        </w:rPr>
        <w:t xml:space="preserve"> para la implementación de un sistema de análisis predictivo avanzado. Este sistema, basado en inteligencia artificial, tiene como objetivo principal la gestión eficiente de la demanda energética, garantizando en todo momento el suministro a los </w:t>
      </w:r>
      <w:r w:rsidRPr="00BF0789">
        <w:rPr>
          <w:rFonts w:ascii="Times New Roman" w:eastAsia="Times New Roman" w:hAnsi="Times New Roman" w:cs="Times New Roman"/>
          <w:b/>
          <w:bCs/>
          <w:lang w:val="es-ES" w:eastAsia="es-ES_tradnl"/>
        </w:rPr>
        <w:t>clientes críticos</w:t>
      </w:r>
      <w:r w:rsidRPr="00BF0789">
        <w:rPr>
          <w:rFonts w:ascii="Times New Roman" w:eastAsia="Times New Roman" w:hAnsi="Times New Roman" w:cs="Times New Roman"/>
          <w:lang w:val="es-ES" w:eastAsia="es-ES_tradnl"/>
        </w:rPr>
        <w:t xml:space="preserve"> (hospitales, servicios de emergencia e industrias esenciales).</w:t>
      </w:r>
    </w:p>
    <w:p w:rsidR="00BF0789" w:rsidRDefault="00BF0789" w:rsidP="00A818A6">
      <w:pPr>
        <w:spacing w:before="100" w:beforeAutospacing="1" w:after="100" w:afterAutospacing="1" w:line="276" w:lineRule="auto"/>
        <w:jc w:val="both"/>
        <w:rPr>
          <w:rFonts w:ascii="Times New Roman" w:eastAsia="Times New Roman" w:hAnsi="Times New Roman" w:cs="Times New Roman"/>
          <w:lang w:val="es-ES" w:eastAsia="es-ES_tradnl"/>
        </w:rPr>
      </w:pPr>
      <w:r w:rsidRPr="00BF0789">
        <w:rPr>
          <w:rFonts w:ascii="Times New Roman" w:eastAsia="Times New Roman" w:hAnsi="Times New Roman" w:cs="Times New Roman"/>
          <w:lang w:val="es-ES" w:eastAsia="es-ES_tradnl"/>
        </w:rPr>
        <w:t>En esta primera etapa, se aborda la definición del proceso de negocio desde una perspectiva operativa, modelando las actividades que un analista de la compañía debe ejecutar para obtener previsiones fiables. Asimismo, se establecen los cimientos del proyecto mediante una matriz de requisitos que integra necesidades de negocio, restricciones técnicas de los datos y estándares de calidad, asegurando que el flujo de información sea íntegro y auditable desde su origen.</w:t>
      </w:r>
    </w:p>
    <w:p w:rsidR="00BF0789" w:rsidRDefault="00BF0789" w:rsidP="00BF0789">
      <w:pPr>
        <w:pStyle w:val="Ttulo3"/>
        <w:jc w:val="both"/>
      </w:pPr>
      <w:r w:rsidRPr="00A818A6">
        <w:rPr>
          <w:color w:val="1F4E79" w:themeColor="accent5" w:themeShade="80"/>
          <w:sz w:val="28"/>
        </w:rPr>
        <w:t>2. Descripción del Proceso de Negocio (BPM</w:t>
      </w:r>
      <w:r w:rsidR="00A818A6">
        <w:rPr>
          <w:color w:val="1F4E79" w:themeColor="accent5" w:themeShade="80"/>
          <w:sz w:val="28"/>
        </w:rPr>
        <w:t>N)</w:t>
      </w:r>
    </w:p>
    <w:p w:rsidR="00BF0789" w:rsidRDefault="00BF0789" w:rsidP="00A818A6">
      <w:pPr>
        <w:pStyle w:val="NormalWeb"/>
        <w:spacing w:line="276" w:lineRule="auto"/>
        <w:jc w:val="both"/>
      </w:pPr>
      <w:r>
        <w:t xml:space="preserve">Para asegurar una ejecución sistemática del cálculo de la previsión, se ha modelado el proceso </w:t>
      </w:r>
      <w:r w:rsidR="00A818A6">
        <w:t xml:space="preserve">de negocio </w:t>
      </w:r>
      <w:r>
        <w:t xml:space="preserve">utilizando la notación </w:t>
      </w:r>
      <w:r>
        <w:rPr>
          <w:b/>
          <w:bCs/>
        </w:rPr>
        <w:t>BPMN 2.0</w:t>
      </w:r>
      <w:r>
        <w:t xml:space="preserve">.  </w:t>
      </w:r>
    </w:p>
    <w:p w:rsidR="00BF0789" w:rsidRDefault="00BF0789" w:rsidP="00BF0789">
      <w:pPr>
        <w:pStyle w:val="NormalWeb"/>
        <w:jc w:val="both"/>
      </w:pPr>
      <w:r>
        <w:rPr>
          <w:noProof/>
        </w:rPr>
        <w:drawing>
          <wp:inline distT="0" distB="0" distL="0" distR="0">
            <wp:extent cx="6120130" cy="1381760"/>
            <wp:effectExtent l="0" t="0" r="127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T_P1_BPMN_v1.0.jpg"/>
                    <pic:cNvPicPr/>
                  </pic:nvPicPr>
                  <pic:blipFill>
                    <a:blip r:embed="rId7">
                      <a:extLst>
                        <a:ext uri="{28A0092B-C50C-407E-A947-70E740481C1C}">
                          <a14:useLocalDpi xmlns:a14="http://schemas.microsoft.com/office/drawing/2010/main" val="0"/>
                        </a:ext>
                      </a:extLst>
                    </a:blip>
                    <a:stretch>
                      <a:fillRect/>
                    </a:stretch>
                  </pic:blipFill>
                  <pic:spPr>
                    <a:xfrm>
                      <a:off x="0" y="0"/>
                      <a:ext cx="6120130" cy="1381760"/>
                    </a:xfrm>
                    <a:prstGeom prst="rect">
                      <a:avLst/>
                    </a:prstGeom>
                  </pic:spPr>
                </pic:pic>
              </a:graphicData>
            </a:graphic>
          </wp:inline>
        </w:drawing>
      </w:r>
    </w:p>
    <w:p w:rsidR="00BF0789" w:rsidRDefault="00BF0789" w:rsidP="00A818A6">
      <w:pPr>
        <w:pStyle w:val="NormalWeb"/>
        <w:spacing w:line="276" w:lineRule="auto"/>
        <w:jc w:val="both"/>
      </w:pPr>
      <w:r>
        <w:t>Para asegurar la integridad y la utilidad de los resultados obtenidos en el cálculo de la previsión, el Analista de Gestión de Demanda debe seguir las siguientes directrices técnicas en cada etapa del proceso:</w:t>
      </w:r>
    </w:p>
    <w:p w:rsidR="00A818A6" w:rsidRDefault="00BF0789" w:rsidP="00A818A6">
      <w:pPr>
        <w:pStyle w:val="NormalWeb"/>
        <w:numPr>
          <w:ilvl w:val="0"/>
          <w:numId w:val="1"/>
        </w:numPr>
        <w:spacing w:line="276" w:lineRule="auto"/>
        <w:jc w:val="both"/>
      </w:pPr>
      <w:r>
        <w:rPr>
          <w:b/>
          <w:bCs/>
        </w:rPr>
        <w:t>Preparación de Insumos:</w:t>
      </w:r>
      <w:r>
        <w:t xml:space="preserve"> La recopilación de datos de consumo debe abarcar un histórico de al menos 24 meses para capturar la estacionalidad. Los datos meteorológicos deben integrarse mediante una conexión segura con la API del servicio oficial, garantizando que la ventana temporal coincida exactamente con la del consumo histórico.</w:t>
      </w:r>
    </w:p>
    <w:p w:rsidR="00BF0789" w:rsidRDefault="00BF0789" w:rsidP="00A818A6">
      <w:pPr>
        <w:pStyle w:val="NormalWeb"/>
        <w:numPr>
          <w:ilvl w:val="0"/>
          <w:numId w:val="1"/>
        </w:numPr>
        <w:spacing w:line="276" w:lineRule="auto"/>
        <w:jc w:val="both"/>
      </w:pPr>
      <w:r>
        <w:rPr>
          <w:b/>
          <w:bCs/>
        </w:rPr>
        <w:t>Normalización y Limpieza :</w:t>
      </w:r>
      <w:r>
        <w:t xml:space="preserve"> Se debe ejecutar un proceso de limpieza para identificar valores nulos o "</w:t>
      </w:r>
      <w:proofErr w:type="spellStart"/>
      <w:r>
        <w:t>outliers</w:t>
      </w:r>
      <w:proofErr w:type="spellEnd"/>
      <w:r>
        <w:t>" (picos de consumo anómalos). En caso de falta de datos, se aplicará una técnica de imputación basada en la media móvil de los registros adyacentes. Todas las marcas temporales se normalizarán al estándar ISO 8601.</w:t>
      </w:r>
    </w:p>
    <w:p w:rsidR="00BF0789" w:rsidRDefault="00BF0789" w:rsidP="00A818A6">
      <w:pPr>
        <w:pStyle w:val="NormalWeb"/>
        <w:numPr>
          <w:ilvl w:val="0"/>
          <w:numId w:val="1"/>
        </w:numPr>
        <w:spacing w:line="276" w:lineRule="auto"/>
        <w:jc w:val="both"/>
      </w:pPr>
      <w:r>
        <w:rPr>
          <w:b/>
          <w:bCs/>
        </w:rPr>
        <w:t>Cálculo Predictivo:</w:t>
      </w:r>
      <w:r>
        <w:t xml:space="preserve"> La ejecución del modelo de IA se realizará cargando el </w:t>
      </w:r>
      <w:proofErr w:type="spellStart"/>
      <w:r>
        <w:t>dataset</w:t>
      </w:r>
      <w:proofErr w:type="spellEnd"/>
      <w:r>
        <w:t xml:space="preserve"> limpio en el entorno de análisis de </w:t>
      </w:r>
      <w:proofErr w:type="spellStart"/>
      <w:r>
        <w:t>EnergiTech</w:t>
      </w:r>
      <w:proofErr w:type="spellEnd"/>
      <w:r>
        <w:t>. Se debe verificar que las variables de entrada tienen el peso adecuado antes de generar la previsión bruta.</w:t>
      </w:r>
    </w:p>
    <w:p w:rsidR="00BF0789" w:rsidRDefault="00BF0789" w:rsidP="00A818A6">
      <w:pPr>
        <w:pStyle w:val="NormalWeb"/>
        <w:numPr>
          <w:ilvl w:val="0"/>
          <w:numId w:val="1"/>
        </w:numPr>
        <w:spacing w:line="276" w:lineRule="auto"/>
        <w:jc w:val="both"/>
      </w:pPr>
      <w:r>
        <w:rPr>
          <w:b/>
          <w:bCs/>
        </w:rPr>
        <w:lastRenderedPageBreak/>
        <w:t>Protocolo de Validación Crítica:</w:t>
      </w:r>
      <w:r>
        <w:t xml:space="preserve"> Una vez obtenida la previsión, se realizará un cruce automático con el censo de Clientes Críticos. Si la demanda prevista para estas zonas supera el umbral de seguridad establecido (ej. 90% de la capacidad de red), el sistema debe marcar el resultado como "pendiente de revisión manual" para evitar errores que pongan en riesgo servicios esenciales como hospitales.</w:t>
      </w:r>
    </w:p>
    <w:p w:rsidR="00BF0789" w:rsidRPr="00A818A6" w:rsidRDefault="00BF0789" w:rsidP="00A818A6">
      <w:pPr>
        <w:pStyle w:val="Ttulo3"/>
        <w:jc w:val="both"/>
        <w:rPr>
          <w:color w:val="1F4E79" w:themeColor="accent5" w:themeShade="80"/>
          <w:sz w:val="28"/>
        </w:rPr>
      </w:pPr>
      <w:r w:rsidRPr="00A818A6">
        <w:rPr>
          <w:color w:val="1F4E79" w:themeColor="accent5" w:themeShade="80"/>
          <w:sz w:val="28"/>
        </w:rPr>
        <w:t xml:space="preserve">3. Identificación de </w:t>
      </w:r>
      <w:r w:rsidR="00A818A6">
        <w:rPr>
          <w:color w:val="1F4E79" w:themeColor="accent5" w:themeShade="80"/>
          <w:sz w:val="28"/>
        </w:rPr>
        <w:t>r</w:t>
      </w:r>
      <w:r w:rsidRPr="00A818A6">
        <w:rPr>
          <w:color w:val="1F4E79" w:themeColor="accent5" w:themeShade="80"/>
          <w:sz w:val="28"/>
        </w:rPr>
        <w:t xml:space="preserve">equisitos y </w:t>
      </w:r>
      <w:r w:rsidR="00A818A6">
        <w:rPr>
          <w:color w:val="1F4E79" w:themeColor="accent5" w:themeShade="80"/>
          <w:sz w:val="28"/>
        </w:rPr>
        <w:t>f</w:t>
      </w:r>
      <w:r w:rsidRPr="00A818A6">
        <w:rPr>
          <w:color w:val="1F4E79" w:themeColor="accent5" w:themeShade="80"/>
          <w:sz w:val="28"/>
        </w:rPr>
        <w:t>uentes</w:t>
      </w:r>
    </w:p>
    <w:p w:rsidR="00BF0789" w:rsidRDefault="00BF0789" w:rsidP="00A818A6">
      <w:pPr>
        <w:pStyle w:val="NormalWeb"/>
        <w:spacing w:line="276" w:lineRule="auto"/>
        <w:jc w:val="both"/>
      </w:pPr>
      <w:r>
        <w:t xml:space="preserve">Para la gestión de este proyecto, se ha elaborado una matriz de requisitos detallada (ver archivo adjunto </w:t>
      </w:r>
      <w:r>
        <w:rPr>
          <w:rStyle w:val="CdigoHTML"/>
        </w:rPr>
        <w:t>ET_P1_Requisitos_v1.0.xlsx</w:t>
      </w:r>
      <w:r>
        <w:t>). A continuación</w:t>
      </w:r>
      <w:r w:rsidR="007444D5">
        <w:t>,</w:t>
      </w:r>
      <w:r>
        <w:t xml:space="preserve"> se resumen los aspectos clave:</w:t>
      </w:r>
    </w:p>
    <w:p w:rsidR="00DA4245" w:rsidRDefault="00BF0789" w:rsidP="00A818A6">
      <w:pPr>
        <w:pStyle w:val="NormalWeb"/>
        <w:jc w:val="both"/>
      </w:pPr>
      <w:r>
        <w:rPr>
          <w:b/>
          <w:bCs/>
        </w:rPr>
        <w:t>Fuentes de Requisitos:</w:t>
      </w:r>
      <w:r>
        <w:t xml:space="preserve"> Se han identificado tres fuentes principales:</w:t>
      </w:r>
      <w:r w:rsidR="00FE1364">
        <w:t xml:space="preserve"> </w:t>
      </w:r>
    </w:p>
    <w:tbl>
      <w:tblPr>
        <w:tblStyle w:val="Tablaconcuadrcula4-nfasis5"/>
        <w:tblW w:w="0" w:type="auto"/>
        <w:tblLook w:val="04A0" w:firstRow="1" w:lastRow="0" w:firstColumn="1" w:lastColumn="0" w:noHBand="0" w:noVBand="1"/>
      </w:tblPr>
      <w:tblGrid>
        <w:gridCol w:w="1413"/>
        <w:gridCol w:w="2410"/>
        <w:gridCol w:w="1736"/>
        <w:gridCol w:w="4069"/>
      </w:tblGrid>
      <w:tr w:rsidR="00DA4245" w:rsidRPr="00DA4245" w:rsidTr="00A818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rsidR="00DA4245" w:rsidRPr="00A818A6" w:rsidRDefault="00DA4245" w:rsidP="00DA4245">
            <w:pPr>
              <w:rPr>
                <w:rFonts w:ascii="Times New Roman" w:eastAsia="Times New Roman" w:hAnsi="Times New Roman" w:cs="Times New Roman"/>
                <w:lang w:val="es-ES" w:eastAsia="es-ES_tradnl"/>
              </w:rPr>
            </w:pPr>
            <w:r w:rsidRPr="00A818A6">
              <w:rPr>
                <w:rFonts w:ascii="Times New Roman" w:eastAsia="Times New Roman" w:hAnsi="Times New Roman" w:cs="Times New Roman"/>
                <w:bdr w:val="none" w:sz="0" w:space="0" w:color="auto" w:frame="1"/>
                <w:lang w:val="es-ES" w:eastAsia="es-ES_tradnl"/>
              </w:rPr>
              <w:t>ID Fuente</w:t>
            </w:r>
          </w:p>
        </w:tc>
        <w:tc>
          <w:tcPr>
            <w:tcW w:w="2410" w:type="dxa"/>
            <w:hideMark/>
          </w:tcPr>
          <w:p w:rsidR="00DA4245" w:rsidRPr="00A818A6" w:rsidRDefault="00DA4245" w:rsidP="00DA4245">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s-ES" w:eastAsia="es-ES_tradnl"/>
              </w:rPr>
            </w:pPr>
            <w:r w:rsidRPr="00A818A6">
              <w:rPr>
                <w:rFonts w:ascii="Times New Roman" w:eastAsia="Times New Roman" w:hAnsi="Times New Roman" w:cs="Times New Roman"/>
                <w:bdr w:val="none" w:sz="0" w:space="0" w:color="auto" w:frame="1"/>
                <w:lang w:val="es-ES" w:eastAsia="es-ES_tradnl"/>
              </w:rPr>
              <w:t>Nombre de la Fuente</w:t>
            </w:r>
          </w:p>
        </w:tc>
        <w:tc>
          <w:tcPr>
            <w:tcW w:w="1480" w:type="dxa"/>
            <w:hideMark/>
          </w:tcPr>
          <w:p w:rsidR="00DA4245" w:rsidRPr="00A818A6" w:rsidRDefault="00DA4245" w:rsidP="00DA4245">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s-ES" w:eastAsia="es-ES_tradnl"/>
              </w:rPr>
            </w:pPr>
            <w:r w:rsidRPr="00A818A6">
              <w:rPr>
                <w:rFonts w:ascii="Times New Roman" w:eastAsia="Times New Roman" w:hAnsi="Times New Roman" w:cs="Times New Roman"/>
                <w:bdr w:val="none" w:sz="0" w:space="0" w:color="auto" w:frame="1"/>
                <w:lang w:val="es-ES" w:eastAsia="es-ES_tradnl"/>
              </w:rPr>
              <w:t>Tipo</w:t>
            </w:r>
          </w:p>
        </w:tc>
        <w:tc>
          <w:tcPr>
            <w:tcW w:w="0" w:type="auto"/>
            <w:hideMark/>
          </w:tcPr>
          <w:p w:rsidR="00DA4245" w:rsidRPr="00A818A6" w:rsidRDefault="00DA4245" w:rsidP="00DA4245">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s-ES" w:eastAsia="es-ES_tradnl"/>
              </w:rPr>
            </w:pPr>
            <w:r w:rsidRPr="00A818A6">
              <w:rPr>
                <w:rFonts w:ascii="Times New Roman" w:eastAsia="Times New Roman" w:hAnsi="Times New Roman" w:cs="Times New Roman"/>
                <w:bdr w:val="none" w:sz="0" w:space="0" w:color="auto" w:frame="1"/>
                <w:lang w:val="es-ES" w:eastAsia="es-ES_tradnl"/>
              </w:rPr>
              <w:t>Descripción</w:t>
            </w:r>
          </w:p>
        </w:tc>
      </w:tr>
      <w:tr w:rsidR="00DA4245" w:rsidRPr="00DA4245" w:rsidTr="00A818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rsidR="00DA4245" w:rsidRPr="00DA4245" w:rsidRDefault="00DA4245" w:rsidP="00DA4245">
            <w:pPr>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F01</w:t>
            </w:r>
          </w:p>
        </w:tc>
        <w:tc>
          <w:tcPr>
            <w:tcW w:w="2410" w:type="dxa"/>
            <w:hideMark/>
          </w:tcPr>
          <w:p w:rsidR="00DA4245" w:rsidRPr="00DA4245" w:rsidRDefault="00DA4245" w:rsidP="00DA424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Operativas</w:t>
            </w:r>
          </w:p>
        </w:tc>
        <w:tc>
          <w:tcPr>
            <w:tcW w:w="1480" w:type="dxa"/>
            <w:hideMark/>
          </w:tcPr>
          <w:p w:rsidR="00DA4245" w:rsidRPr="00DA4245" w:rsidRDefault="00DA4245" w:rsidP="00DA424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Documentación</w:t>
            </w:r>
          </w:p>
        </w:tc>
        <w:tc>
          <w:tcPr>
            <w:tcW w:w="0" w:type="auto"/>
            <w:hideMark/>
          </w:tcPr>
          <w:p w:rsidR="00DA4245" w:rsidRPr="00DA4245" w:rsidRDefault="00E743CB" w:rsidP="00DA424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 xml:space="preserve">Derivadas de la necesidad de </w:t>
            </w:r>
            <w:proofErr w:type="spellStart"/>
            <w:r w:rsidRPr="00E743CB">
              <w:rPr>
                <w:rFonts w:ascii="Times New Roman" w:eastAsia="Times New Roman" w:hAnsi="Times New Roman" w:cs="Times New Roman"/>
                <w:color w:val="1F1F1F"/>
                <w:bdr w:val="none" w:sz="0" w:space="0" w:color="auto" w:frame="1"/>
                <w:lang w:val="es-ES" w:eastAsia="es-ES_tradnl"/>
              </w:rPr>
              <w:t>EnergiTech</w:t>
            </w:r>
            <w:proofErr w:type="spellEnd"/>
            <w:r w:rsidRPr="00E743CB">
              <w:rPr>
                <w:rFonts w:ascii="Times New Roman" w:eastAsia="Times New Roman" w:hAnsi="Times New Roman" w:cs="Times New Roman"/>
                <w:color w:val="1F1F1F"/>
                <w:bdr w:val="none" w:sz="0" w:space="0" w:color="auto" w:frame="1"/>
                <w:lang w:val="es-ES" w:eastAsia="es-ES_tradnl"/>
              </w:rPr>
              <w:t xml:space="preserve"> de evitar déficits de energía</w:t>
            </w:r>
          </w:p>
        </w:tc>
      </w:tr>
      <w:tr w:rsidR="00DA4245" w:rsidRPr="00DA4245" w:rsidTr="00A818A6">
        <w:tc>
          <w:tcPr>
            <w:cnfStyle w:val="001000000000" w:firstRow="0" w:lastRow="0" w:firstColumn="1" w:lastColumn="0" w:oddVBand="0" w:evenVBand="0" w:oddHBand="0" w:evenHBand="0" w:firstRowFirstColumn="0" w:firstRowLastColumn="0" w:lastRowFirstColumn="0" w:lastRowLastColumn="0"/>
            <w:tcW w:w="1413" w:type="dxa"/>
            <w:hideMark/>
          </w:tcPr>
          <w:p w:rsidR="00DA4245" w:rsidRPr="00DA4245" w:rsidRDefault="00DA4245" w:rsidP="00DA4245">
            <w:pPr>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F0</w:t>
            </w:r>
            <w:r w:rsidR="00FE1364">
              <w:rPr>
                <w:rFonts w:ascii="Times New Roman" w:eastAsia="Times New Roman" w:hAnsi="Times New Roman" w:cs="Times New Roman"/>
                <w:color w:val="1F1F1F"/>
                <w:bdr w:val="none" w:sz="0" w:space="0" w:color="auto" w:frame="1"/>
                <w:lang w:val="es-ES" w:eastAsia="es-ES_tradnl"/>
              </w:rPr>
              <w:t>2</w:t>
            </w:r>
          </w:p>
        </w:tc>
        <w:tc>
          <w:tcPr>
            <w:tcW w:w="2410" w:type="dxa"/>
            <w:hideMark/>
          </w:tcPr>
          <w:p w:rsidR="00DA4245" w:rsidRPr="00DA4245" w:rsidRDefault="00DA4245" w:rsidP="00DA424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Normativa UNE 0081</w:t>
            </w:r>
          </w:p>
        </w:tc>
        <w:tc>
          <w:tcPr>
            <w:tcW w:w="1480" w:type="dxa"/>
            <w:hideMark/>
          </w:tcPr>
          <w:p w:rsidR="00DA4245" w:rsidRPr="00DA4245" w:rsidRDefault="00DA4245" w:rsidP="00DA424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Estándar</w:t>
            </w:r>
          </w:p>
        </w:tc>
        <w:tc>
          <w:tcPr>
            <w:tcW w:w="0" w:type="auto"/>
            <w:hideMark/>
          </w:tcPr>
          <w:p w:rsidR="00DA4245" w:rsidRPr="00DA4245" w:rsidRDefault="00DA4245" w:rsidP="00DA424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Marco de referencia para las dimensiones de calidad del dato.</w:t>
            </w:r>
          </w:p>
        </w:tc>
      </w:tr>
      <w:tr w:rsidR="00DA4245" w:rsidRPr="00DA4245" w:rsidTr="00A818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rsidR="00DA4245" w:rsidRPr="00DA4245" w:rsidRDefault="00DA4245" w:rsidP="00DA4245">
            <w:pPr>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F0</w:t>
            </w:r>
            <w:r w:rsidR="00FE1364">
              <w:rPr>
                <w:rFonts w:ascii="Times New Roman" w:eastAsia="Times New Roman" w:hAnsi="Times New Roman" w:cs="Times New Roman"/>
                <w:color w:val="1F1F1F"/>
                <w:bdr w:val="none" w:sz="0" w:space="0" w:color="auto" w:frame="1"/>
                <w:lang w:val="es-ES" w:eastAsia="es-ES_tradnl"/>
              </w:rPr>
              <w:t>3</w:t>
            </w:r>
          </w:p>
        </w:tc>
        <w:tc>
          <w:tcPr>
            <w:tcW w:w="2410" w:type="dxa"/>
            <w:hideMark/>
          </w:tcPr>
          <w:p w:rsidR="00DA4245" w:rsidRPr="00DA4245" w:rsidRDefault="00DA4245" w:rsidP="00DA424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Registro de Incidencias Históricas</w:t>
            </w:r>
          </w:p>
        </w:tc>
        <w:tc>
          <w:tcPr>
            <w:tcW w:w="1480" w:type="dxa"/>
            <w:hideMark/>
          </w:tcPr>
          <w:p w:rsidR="00DA4245" w:rsidRPr="00DA4245" w:rsidRDefault="00DA4245" w:rsidP="00DA424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Documentación</w:t>
            </w:r>
          </w:p>
        </w:tc>
        <w:tc>
          <w:tcPr>
            <w:tcW w:w="0" w:type="auto"/>
            <w:hideMark/>
          </w:tcPr>
          <w:p w:rsidR="00DA4245" w:rsidRPr="00DA4245" w:rsidRDefault="00DA4245" w:rsidP="00DA424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DA4245">
              <w:rPr>
                <w:rFonts w:ascii="Times New Roman" w:eastAsia="Times New Roman" w:hAnsi="Times New Roman" w:cs="Times New Roman"/>
                <w:color w:val="1F1F1F"/>
                <w:bdr w:val="none" w:sz="0" w:space="0" w:color="auto" w:frame="1"/>
                <w:lang w:val="es-ES" w:eastAsia="es-ES_tradnl"/>
              </w:rPr>
              <w:t>Informe de errores previos (duplicados, fallos de cálculo).</w:t>
            </w:r>
          </w:p>
        </w:tc>
      </w:tr>
    </w:tbl>
    <w:p w:rsidR="00BF0789" w:rsidRDefault="00FE1364" w:rsidP="00A818A6">
      <w:pPr>
        <w:pStyle w:val="NormalWeb"/>
        <w:jc w:val="both"/>
      </w:pPr>
      <w:r w:rsidRPr="00FE1364">
        <w:rPr>
          <w:b/>
          <w:bCs/>
        </w:rPr>
        <w:t>Catálogo de requisitos</w:t>
      </w:r>
      <w:r w:rsidR="00BF0789" w:rsidRPr="00FE1364">
        <w:rPr>
          <w:b/>
          <w:bCs/>
        </w:rPr>
        <w:t>:</w:t>
      </w:r>
      <w:r w:rsidR="00BF0789">
        <w:t xml:space="preserve"> </w:t>
      </w:r>
    </w:p>
    <w:tbl>
      <w:tblPr>
        <w:tblStyle w:val="Tablaconcuadrcula4-nfasis5"/>
        <w:tblW w:w="9662" w:type="dxa"/>
        <w:tblLook w:val="04A0" w:firstRow="1" w:lastRow="0" w:firstColumn="1" w:lastColumn="0" w:noHBand="0" w:noVBand="1"/>
      </w:tblPr>
      <w:tblGrid>
        <w:gridCol w:w="1031"/>
        <w:gridCol w:w="3901"/>
        <w:gridCol w:w="1186"/>
        <w:gridCol w:w="1400"/>
        <w:gridCol w:w="2144"/>
      </w:tblGrid>
      <w:tr w:rsidR="00E743CB" w:rsidRPr="00E743CB" w:rsidTr="00A818A6">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E743CB" w:rsidRPr="00A818A6" w:rsidRDefault="00E743CB" w:rsidP="00E743CB">
            <w:pPr>
              <w:rPr>
                <w:rFonts w:ascii="Times New Roman" w:eastAsia="Times New Roman" w:hAnsi="Times New Roman" w:cs="Times New Roman"/>
                <w:lang w:val="es-ES" w:eastAsia="es-ES_tradnl"/>
              </w:rPr>
            </w:pPr>
            <w:r w:rsidRPr="00A818A6">
              <w:rPr>
                <w:rFonts w:ascii="Times New Roman" w:eastAsia="Times New Roman" w:hAnsi="Times New Roman" w:cs="Times New Roman"/>
                <w:bdr w:val="none" w:sz="0" w:space="0" w:color="auto" w:frame="1"/>
                <w:lang w:val="es-ES" w:eastAsia="es-ES_tradnl"/>
              </w:rPr>
              <w:t>ID</w:t>
            </w:r>
          </w:p>
        </w:tc>
        <w:tc>
          <w:tcPr>
            <w:tcW w:w="0" w:type="auto"/>
            <w:hideMark/>
          </w:tcPr>
          <w:p w:rsidR="00E743CB" w:rsidRPr="00A818A6" w:rsidRDefault="00E743CB" w:rsidP="00E743C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s-ES" w:eastAsia="es-ES_tradnl"/>
              </w:rPr>
            </w:pPr>
            <w:r w:rsidRPr="00A818A6">
              <w:rPr>
                <w:rFonts w:ascii="Times New Roman" w:eastAsia="Times New Roman" w:hAnsi="Times New Roman" w:cs="Times New Roman"/>
                <w:bdr w:val="none" w:sz="0" w:space="0" w:color="auto" w:frame="1"/>
                <w:lang w:val="es-ES" w:eastAsia="es-ES_tradnl"/>
              </w:rPr>
              <w:t>Nombre del Requisito</w:t>
            </w:r>
          </w:p>
        </w:tc>
        <w:tc>
          <w:tcPr>
            <w:tcW w:w="0" w:type="auto"/>
            <w:hideMark/>
          </w:tcPr>
          <w:p w:rsidR="00E743CB" w:rsidRPr="00A818A6" w:rsidRDefault="00E743CB" w:rsidP="00E743C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s-ES" w:eastAsia="es-ES_tradnl"/>
              </w:rPr>
            </w:pPr>
            <w:r w:rsidRPr="00A818A6">
              <w:rPr>
                <w:rFonts w:ascii="Times New Roman" w:eastAsia="Times New Roman" w:hAnsi="Times New Roman" w:cs="Times New Roman"/>
                <w:bdr w:val="none" w:sz="0" w:space="0" w:color="auto" w:frame="1"/>
                <w:lang w:val="es-ES" w:eastAsia="es-ES_tradnl"/>
              </w:rPr>
              <w:t>Tipo</w:t>
            </w:r>
          </w:p>
        </w:tc>
        <w:tc>
          <w:tcPr>
            <w:tcW w:w="0" w:type="auto"/>
            <w:hideMark/>
          </w:tcPr>
          <w:p w:rsidR="00E743CB" w:rsidRPr="00A818A6" w:rsidRDefault="00E743CB" w:rsidP="00E743C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s-ES" w:eastAsia="es-ES_tradnl"/>
              </w:rPr>
            </w:pPr>
            <w:r w:rsidRPr="00A818A6">
              <w:rPr>
                <w:rFonts w:ascii="Times New Roman" w:eastAsia="Times New Roman" w:hAnsi="Times New Roman" w:cs="Times New Roman"/>
                <w:bdr w:val="none" w:sz="0" w:space="0" w:color="auto" w:frame="1"/>
                <w:lang w:val="es-ES" w:eastAsia="es-ES_tradnl"/>
              </w:rPr>
              <w:t>Prioridad</w:t>
            </w:r>
          </w:p>
        </w:tc>
        <w:tc>
          <w:tcPr>
            <w:tcW w:w="0" w:type="auto"/>
            <w:hideMark/>
          </w:tcPr>
          <w:p w:rsidR="00E743CB" w:rsidRPr="00A818A6" w:rsidRDefault="00E743CB" w:rsidP="00E743C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lang w:val="es-ES" w:eastAsia="es-ES_tradnl"/>
              </w:rPr>
            </w:pPr>
            <w:r w:rsidRPr="00A818A6">
              <w:rPr>
                <w:rFonts w:ascii="Times New Roman" w:eastAsia="Times New Roman" w:hAnsi="Times New Roman" w:cs="Times New Roman"/>
                <w:bdr w:val="none" w:sz="0" w:space="0" w:color="auto" w:frame="1"/>
                <w:lang w:val="es-ES" w:eastAsia="es-ES_tradnl"/>
              </w:rPr>
              <w:t>Origen (Fuente)</w:t>
            </w:r>
          </w:p>
        </w:tc>
      </w:tr>
      <w:tr w:rsidR="00E743CB" w:rsidRPr="00E743CB" w:rsidTr="00A818A6">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E743CB" w:rsidRPr="00E743CB" w:rsidRDefault="00E743CB" w:rsidP="00E743CB">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BR-01</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Garantía de Suministro Crítico</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Negocio</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Alta</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F01</w:t>
            </w:r>
          </w:p>
        </w:tc>
      </w:tr>
      <w:tr w:rsidR="00E743CB" w:rsidRPr="00E743CB" w:rsidTr="00A818A6">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rsidR="00E743CB" w:rsidRPr="00E743CB" w:rsidRDefault="00E743CB" w:rsidP="00E743CB">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BR-02</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Anticipación Operativa (24h)</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Negocio</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Alta</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F0</w:t>
            </w:r>
            <w:r>
              <w:rPr>
                <w:rFonts w:ascii="Times New Roman" w:eastAsia="Times New Roman" w:hAnsi="Times New Roman" w:cs="Times New Roman"/>
                <w:color w:val="1F1F1F"/>
                <w:bdr w:val="none" w:sz="0" w:space="0" w:color="auto" w:frame="1"/>
                <w:lang w:val="es-ES" w:eastAsia="es-ES_tradnl"/>
              </w:rPr>
              <w:t>1</w:t>
            </w:r>
          </w:p>
        </w:tc>
      </w:tr>
      <w:tr w:rsidR="00E743CB" w:rsidRPr="00E743CB" w:rsidTr="00A818A6">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E743CB" w:rsidRPr="00E743CB" w:rsidRDefault="00E743CB" w:rsidP="00E743CB">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DR-01</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Histórico de Consumo Eléctrico</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Datos</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Alta</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F01</w:t>
            </w:r>
          </w:p>
        </w:tc>
      </w:tr>
      <w:tr w:rsidR="00E743CB" w:rsidRPr="00E743CB" w:rsidTr="00A818A6">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E743CB" w:rsidRPr="00E743CB" w:rsidRDefault="00E743CB" w:rsidP="00E743CB">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DR-02</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Previsión Meteorológica Externa</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Datos</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Media</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F01</w:t>
            </w:r>
          </w:p>
        </w:tc>
      </w:tr>
      <w:tr w:rsidR="00E743CB" w:rsidRPr="00E743CB" w:rsidTr="00A818A6">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E743CB" w:rsidRPr="00E743CB" w:rsidRDefault="00E743CB" w:rsidP="00E743CB">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DR-03</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Censo de Clientes Críticos</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Datos</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Alta</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F01</w:t>
            </w:r>
          </w:p>
        </w:tc>
      </w:tr>
      <w:tr w:rsidR="00E743CB" w:rsidRPr="00E743CB" w:rsidTr="00A818A6">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E743CB" w:rsidRPr="00E743CB" w:rsidRDefault="00E743CB" w:rsidP="00E743CB">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QR-01</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Completitud de Lecturas (98%)</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Calidad</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Alta</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F0</w:t>
            </w:r>
            <w:r>
              <w:rPr>
                <w:rFonts w:ascii="Times New Roman" w:eastAsia="Times New Roman" w:hAnsi="Times New Roman" w:cs="Times New Roman"/>
                <w:color w:val="1F1F1F"/>
                <w:bdr w:val="none" w:sz="0" w:space="0" w:color="auto" w:frame="1"/>
                <w:lang w:val="es-ES" w:eastAsia="es-ES_tradnl"/>
              </w:rPr>
              <w:t>2</w:t>
            </w:r>
            <w:r w:rsidRPr="00E743CB">
              <w:rPr>
                <w:rFonts w:ascii="Times New Roman" w:eastAsia="Times New Roman" w:hAnsi="Times New Roman" w:cs="Times New Roman"/>
                <w:color w:val="1F1F1F"/>
                <w:bdr w:val="none" w:sz="0" w:space="0" w:color="auto" w:frame="1"/>
                <w:lang w:val="es-ES" w:eastAsia="es-ES_tradnl"/>
              </w:rPr>
              <w:t>, F0</w:t>
            </w:r>
            <w:r>
              <w:rPr>
                <w:rFonts w:ascii="Times New Roman" w:eastAsia="Times New Roman" w:hAnsi="Times New Roman" w:cs="Times New Roman"/>
                <w:color w:val="1F1F1F"/>
                <w:bdr w:val="none" w:sz="0" w:space="0" w:color="auto" w:frame="1"/>
                <w:lang w:val="es-ES" w:eastAsia="es-ES_tradnl"/>
              </w:rPr>
              <w:t>3</w:t>
            </w:r>
          </w:p>
        </w:tc>
      </w:tr>
      <w:tr w:rsidR="00E743CB" w:rsidRPr="00E743CB" w:rsidTr="00A818A6">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E743CB" w:rsidRPr="00E743CB" w:rsidRDefault="00E743CB" w:rsidP="00E743CB">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QR-02</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Actualización de Datos Tiempo</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Calidad</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Media</w:t>
            </w:r>
          </w:p>
        </w:tc>
        <w:tc>
          <w:tcPr>
            <w:tcW w:w="0" w:type="auto"/>
            <w:hideMark/>
          </w:tcPr>
          <w:p w:rsidR="00E743CB" w:rsidRPr="00E743CB" w:rsidRDefault="00E743CB" w:rsidP="00E743C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F0</w:t>
            </w:r>
            <w:r>
              <w:rPr>
                <w:rFonts w:ascii="Times New Roman" w:eastAsia="Times New Roman" w:hAnsi="Times New Roman" w:cs="Times New Roman"/>
                <w:color w:val="1F1F1F"/>
                <w:bdr w:val="none" w:sz="0" w:space="0" w:color="auto" w:frame="1"/>
                <w:lang w:val="es-ES" w:eastAsia="es-ES_tradnl"/>
              </w:rPr>
              <w:t>2</w:t>
            </w:r>
          </w:p>
        </w:tc>
      </w:tr>
      <w:tr w:rsidR="00E743CB" w:rsidRPr="00E743CB" w:rsidTr="00A818A6">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rsidR="00E743CB" w:rsidRPr="00E743CB" w:rsidRDefault="00E743CB" w:rsidP="00E743CB">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QR-03</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Unicidad de Identificadores</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Calidad</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Alta</w:t>
            </w:r>
          </w:p>
        </w:tc>
        <w:tc>
          <w:tcPr>
            <w:tcW w:w="0" w:type="auto"/>
            <w:hideMark/>
          </w:tcPr>
          <w:p w:rsidR="00E743CB" w:rsidRPr="00E743CB" w:rsidRDefault="00E743CB" w:rsidP="00E743C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F0</w:t>
            </w:r>
            <w:r>
              <w:rPr>
                <w:rFonts w:ascii="Times New Roman" w:eastAsia="Times New Roman" w:hAnsi="Times New Roman" w:cs="Times New Roman"/>
                <w:color w:val="1F1F1F"/>
                <w:bdr w:val="none" w:sz="0" w:space="0" w:color="auto" w:frame="1"/>
                <w:lang w:val="es-ES" w:eastAsia="es-ES_tradnl"/>
              </w:rPr>
              <w:t>3</w:t>
            </w:r>
          </w:p>
        </w:tc>
      </w:tr>
    </w:tbl>
    <w:tbl>
      <w:tblPr>
        <w:tblStyle w:val="Tablaconcuadrcula1clara-nfasis1"/>
        <w:tblpPr w:leftFromText="141" w:rightFromText="141" w:vertAnchor="text" w:horzAnchor="margin" w:tblpY="1006"/>
        <w:tblW w:w="9665" w:type="dxa"/>
        <w:tblLook w:val="04A0" w:firstRow="1" w:lastRow="0" w:firstColumn="1" w:lastColumn="0" w:noHBand="0" w:noVBand="1"/>
      </w:tblPr>
      <w:tblGrid>
        <w:gridCol w:w="1975"/>
        <w:gridCol w:w="1993"/>
        <w:gridCol w:w="2074"/>
        <w:gridCol w:w="3623"/>
      </w:tblGrid>
      <w:tr w:rsidR="00A818A6" w:rsidRPr="00E743CB" w:rsidTr="00A818A6">
        <w:trPr>
          <w:cnfStyle w:val="100000000000" w:firstRow="1" w:lastRow="0" w:firstColumn="0" w:lastColumn="0" w:oddVBand="0" w:evenVBand="0" w:oddHBand="0"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0" w:type="auto"/>
            <w:hideMark/>
          </w:tcPr>
          <w:p w:rsidR="00A818A6" w:rsidRPr="00E743CB" w:rsidRDefault="00A818A6" w:rsidP="00A818A6">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ID Requisito Negocio</w:t>
            </w:r>
          </w:p>
        </w:tc>
        <w:tc>
          <w:tcPr>
            <w:tcW w:w="0" w:type="auto"/>
            <w:hideMark/>
          </w:tcPr>
          <w:p w:rsidR="00A818A6" w:rsidRPr="00E743CB" w:rsidRDefault="00A818A6" w:rsidP="00A818A6">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Requisito de Datos Asociado</w:t>
            </w:r>
          </w:p>
        </w:tc>
        <w:tc>
          <w:tcPr>
            <w:tcW w:w="0" w:type="auto"/>
            <w:hideMark/>
          </w:tcPr>
          <w:p w:rsidR="00A818A6" w:rsidRPr="00E743CB" w:rsidRDefault="00A818A6" w:rsidP="00A818A6">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Requisito de Calidad Asociado</w:t>
            </w:r>
          </w:p>
        </w:tc>
        <w:tc>
          <w:tcPr>
            <w:tcW w:w="0" w:type="auto"/>
            <w:hideMark/>
          </w:tcPr>
          <w:p w:rsidR="00A818A6" w:rsidRPr="00E743CB" w:rsidRDefault="00A818A6" w:rsidP="00A818A6">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Justificación</w:t>
            </w:r>
          </w:p>
        </w:tc>
      </w:tr>
      <w:tr w:rsidR="00A818A6" w:rsidRPr="00E743CB" w:rsidTr="00A818A6">
        <w:trPr>
          <w:trHeight w:val="920"/>
        </w:trPr>
        <w:tc>
          <w:tcPr>
            <w:cnfStyle w:val="001000000000" w:firstRow="0" w:lastRow="0" w:firstColumn="1" w:lastColumn="0" w:oddVBand="0" w:evenVBand="0" w:oddHBand="0" w:evenHBand="0" w:firstRowFirstColumn="0" w:firstRowLastColumn="0" w:lastRowFirstColumn="0" w:lastRowLastColumn="0"/>
            <w:tcW w:w="0" w:type="auto"/>
            <w:hideMark/>
          </w:tcPr>
          <w:p w:rsidR="00A818A6" w:rsidRPr="00E743CB" w:rsidRDefault="00A818A6" w:rsidP="00A818A6">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BR-01 (Suministro Crítico)</w:t>
            </w:r>
          </w:p>
        </w:tc>
        <w:tc>
          <w:tcPr>
            <w:tcW w:w="0" w:type="auto"/>
            <w:hideMark/>
          </w:tcPr>
          <w:p w:rsidR="00A818A6" w:rsidRPr="00E743CB" w:rsidRDefault="00A818A6" w:rsidP="00A818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DR-03</w:t>
            </w:r>
            <w:r w:rsidRPr="00E743CB">
              <w:rPr>
                <w:rFonts w:ascii="Times New Roman" w:eastAsia="Times New Roman" w:hAnsi="Times New Roman" w:cs="Times New Roman"/>
                <w:color w:val="1F1F1F"/>
                <w:bdr w:val="none" w:sz="0" w:space="0" w:color="auto" w:frame="1"/>
                <w:lang w:val="es-ES" w:eastAsia="es-ES_tradnl"/>
              </w:rPr>
              <w:t xml:space="preserve"> (Censo Críticos)</w:t>
            </w:r>
          </w:p>
        </w:tc>
        <w:tc>
          <w:tcPr>
            <w:tcW w:w="0" w:type="auto"/>
            <w:hideMark/>
          </w:tcPr>
          <w:p w:rsidR="00A818A6" w:rsidRPr="00E743CB" w:rsidRDefault="00A818A6" w:rsidP="00A818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QR-03</w:t>
            </w:r>
            <w:r w:rsidRPr="00E743CB">
              <w:rPr>
                <w:rFonts w:ascii="Times New Roman" w:eastAsia="Times New Roman" w:hAnsi="Times New Roman" w:cs="Times New Roman"/>
                <w:color w:val="1F1F1F"/>
                <w:bdr w:val="none" w:sz="0" w:space="0" w:color="auto" w:frame="1"/>
                <w:lang w:val="es-ES" w:eastAsia="es-ES_tradnl"/>
              </w:rPr>
              <w:t xml:space="preserve"> (Unicidad)</w:t>
            </w:r>
          </w:p>
        </w:tc>
        <w:tc>
          <w:tcPr>
            <w:tcW w:w="0" w:type="auto"/>
            <w:hideMark/>
          </w:tcPr>
          <w:p w:rsidR="00A818A6" w:rsidRPr="00E743CB" w:rsidRDefault="00A818A6" w:rsidP="00A818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Para garantizar el suministro a un hospital, primero debemos identificarlo sin errores ni duplicados en el sistema.</w:t>
            </w:r>
          </w:p>
        </w:tc>
      </w:tr>
      <w:tr w:rsidR="00A818A6" w:rsidRPr="00E743CB" w:rsidTr="00A818A6">
        <w:trPr>
          <w:trHeight w:val="674"/>
        </w:trPr>
        <w:tc>
          <w:tcPr>
            <w:cnfStyle w:val="001000000000" w:firstRow="0" w:lastRow="0" w:firstColumn="1" w:lastColumn="0" w:oddVBand="0" w:evenVBand="0" w:oddHBand="0" w:evenHBand="0" w:firstRowFirstColumn="0" w:firstRowLastColumn="0" w:lastRowFirstColumn="0" w:lastRowLastColumn="0"/>
            <w:tcW w:w="0" w:type="auto"/>
            <w:hideMark/>
          </w:tcPr>
          <w:p w:rsidR="00A818A6" w:rsidRPr="00E743CB" w:rsidRDefault="00A818A6" w:rsidP="00A818A6">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BR-01 (Suministro Crítico)</w:t>
            </w:r>
          </w:p>
        </w:tc>
        <w:tc>
          <w:tcPr>
            <w:tcW w:w="0" w:type="auto"/>
            <w:hideMark/>
          </w:tcPr>
          <w:p w:rsidR="00A818A6" w:rsidRPr="00E743CB" w:rsidRDefault="00A818A6" w:rsidP="00A818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DR-01</w:t>
            </w:r>
            <w:r w:rsidRPr="00E743CB">
              <w:rPr>
                <w:rFonts w:ascii="Times New Roman" w:eastAsia="Times New Roman" w:hAnsi="Times New Roman" w:cs="Times New Roman"/>
                <w:color w:val="1F1F1F"/>
                <w:bdr w:val="none" w:sz="0" w:space="0" w:color="auto" w:frame="1"/>
                <w:lang w:val="es-ES" w:eastAsia="es-ES_tradnl"/>
              </w:rPr>
              <w:t xml:space="preserve"> (Histórico Consumo)</w:t>
            </w:r>
          </w:p>
        </w:tc>
        <w:tc>
          <w:tcPr>
            <w:tcW w:w="0" w:type="auto"/>
            <w:hideMark/>
          </w:tcPr>
          <w:p w:rsidR="00A818A6" w:rsidRPr="00E743CB" w:rsidRDefault="00A818A6" w:rsidP="00A818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QR-01</w:t>
            </w:r>
            <w:r w:rsidRPr="00E743CB">
              <w:rPr>
                <w:rFonts w:ascii="Times New Roman" w:eastAsia="Times New Roman" w:hAnsi="Times New Roman" w:cs="Times New Roman"/>
                <w:color w:val="1F1F1F"/>
                <w:bdr w:val="none" w:sz="0" w:space="0" w:color="auto" w:frame="1"/>
                <w:lang w:val="es-ES" w:eastAsia="es-ES_tradnl"/>
              </w:rPr>
              <w:t xml:space="preserve"> (Completitud)</w:t>
            </w:r>
          </w:p>
        </w:tc>
        <w:tc>
          <w:tcPr>
            <w:tcW w:w="0" w:type="auto"/>
            <w:hideMark/>
          </w:tcPr>
          <w:p w:rsidR="00A818A6" w:rsidRPr="00E743CB" w:rsidRDefault="00A818A6" w:rsidP="00A818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No se puede predecir la carga de un hospital si faltan datos de sus consumos previos.</w:t>
            </w:r>
          </w:p>
        </w:tc>
      </w:tr>
      <w:tr w:rsidR="00A818A6" w:rsidRPr="00E743CB" w:rsidTr="00A818A6">
        <w:trPr>
          <w:trHeight w:val="444"/>
        </w:trPr>
        <w:tc>
          <w:tcPr>
            <w:cnfStyle w:val="001000000000" w:firstRow="0" w:lastRow="0" w:firstColumn="1" w:lastColumn="0" w:oddVBand="0" w:evenVBand="0" w:oddHBand="0" w:evenHBand="0" w:firstRowFirstColumn="0" w:firstRowLastColumn="0" w:lastRowFirstColumn="0" w:lastRowLastColumn="0"/>
            <w:tcW w:w="0" w:type="auto"/>
            <w:hideMark/>
          </w:tcPr>
          <w:p w:rsidR="00A818A6" w:rsidRPr="00E743CB" w:rsidRDefault="00A818A6" w:rsidP="00A818A6">
            <w:pPr>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BR-02 (Anticipación)</w:t>
            </w:r>
          </w:p>
        </w:tc>
        <w:tc>
          <w:tcPr>
            <w:tcW w:w="0" w:type="auto"/>
            <w:hideMark/>
          </w:tcPr>
          <w:p w:rsidR="00A818A6" w:rsidRPr="00E743CB" w:rsidRDefault="00A818A6" w:rsidP="00A818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DR-02</w:t>
            </w:r>
            <w:r w:rsidRPr="00E743CB">
              <w:rPr>
                <w:rFonts w:ascii="Times New Roman" w:eastAsia="Times New Roman" w:hAnsi="Times New Roman" w:cs="Times New Roman"/>
                <w:color w:val="1F1F1F"/>
                <w:bdr w:val="none" w:sz="0" w:space="0" w:color="auto" w:frame="1"/>
                <w:lang w:val="es-ES" w:eastAsia="es-ES_tradnl"/>
              </w:rPr>
              <w:t xml:space="preserve"> (Meteorología)</w:t>
            </w:r>
          </w:p>
        </w:tc>
        <w:tc>
          <w:tcPr>
            <w:tcW w:w="0" w:type="auto"/>
            <w:hideMark/>
          </w:tcPr>
          <w:p w:rsidR="00A818A6" w:rsidRPr="00E743CB" w:rsidRDefault="00A818A6" w:rsidP="00A818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b/>
                <w:bCs/>
                <w:color w:val="1F1F1F"/>
                <w:bdr w:val="none" w:sz="0" w:space="0" w:color="auto" w:frame="1"/>
                <w:lang w:val="es-ES" w:eastAsia="es-ES_tradnl"/>
              </w:rPr>
              <w:t>QR-02</w:t>
            </w:r>
            <w:r w:rsidRPr="00E743CB">
              <w:rPr>
                <w:rFonts w:ascii="Times New Roman" w:eastAsia="Times New Roman" w:hAnsi="Times New Roman" w:cs="Times New Roman"/>
                <w:color w:val="1F1F1F"/>
                <w:bdr w:val="none" w:sz="0" w:space="0" w:color="auto" w:frame="1"/>
                <w:lang w:val="es-ES" w:eastAsia="es-ES_tradnl"/>
              </w:rPr>
              <w:t xml:space="preserve"> (Actualización)</w:t>
            </w:r>
          </w:p>
        </w:tc>
        <w:tc>
          <w:tcPr>
            <w:tcW w:w="0" w:type="auto"/>
            <w:hideMark/>
          </w:tcPr>
          <w:p w:rsidR="00A818A6" w:rsidRPr="00E743CB" w:rsidRDefault="00A818A6" w:rsidP="00A818A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lang w:val="es-ES" w:eastAsia="es-ES_tradnl"/>
              </w:rPr>
            </w:pPr>
            <w:r w:rsidRPr="00E743CB">
              <w:rPr>
                <w:rFonts w:ascii="Times New Roman" w:eastAsia="Times New Roman" w:hAnsi="Times New Roman" w:cs="Times New Roman"/>
                <w:color w:val="1F1F1F"/>
                <w:bdr w:val="none" w:sz="0" w:space="0" w:color="auto" w:frame="1"/>
                <w:lang w:val="es-ES" w:eastAsia="es-ES_tradnl"/>
              </w:rPr>
              <w:t>La previsión a 24h depende de que el dato del tiempo no sea antiguo.</w:t>
            </w:r>
          </w:p>
        </w:tc>
      </w:tr>
    </w:tbl>
    <w:p w:rsidR="00A818A6" w:rsidRDefault="00A818A6" w:rsidP="00A818A6">
      <w:pPr>
        <w:pStyle w:val="NormalWeb"/>
        <w:jc w:val="both"/>
        <w:rPr>
          <w:b/>
          <w:bCs/>
        </w:rPr>
      </w:pPr>
    </w:p>
    <w:p w:rsidR="00E743CB" w:rsidRDefault="00E743CB" w:rsidP="00A818A6">
      <w:pPr>
        <w:pStyle w:val="NormalWeb"/>
        <w:jc w:val="both"/>
      </w:pPr>
      <w:bookmarkStart w:id="0" w:name="_GoBack"/>
      <w:bookmarkEnd w:id="0"/>
      <w:r w:rsidRPr="00E743CB">
        <w:rPr>
          <w:b/>
          <w:bCs/>
        </w:rPr>
        <w:t>Matriz de Trazabilidad de Requisitos del Dato</w:t>
      </w:r>
      <w:r w:rsidRPr="00FE1364">
        <w:rPr>
          <w:b/>
          <w:bCs/>
        </w:rPr>
        <w:t>:</w:t>
      </w:r>
      <w:r>
        <w:t xml:space="preserve"> </w:t>
      </w:r>
    </w:p>
    <w:p w:rsidR="00F84134" w:rsidRPr="00BF0789" w:rsidRDefault="00361BCD" w:rsidP="00A818A6">
      <w:pPr>
        <w:rPr>
          <w:lang w:val="es-ES"/>
        </w:rPr>
      </w:pPr>
    </w:p>
    <w:sectPr w:rsidR="00F84134" w:rsidRPr="00BF0789" w:rsidSect="00455BB7">
      <w:headerReference w:type="default" r:id="rId8"/>
      <w:footerReference w:type="default" r:id="rId9"/>
      <w:pgSz w:w="11906" w:h="16838" w:code="9"/>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61BCD" w:rsidRDefault="00361BCD" w:rsidP="00BE673A">
      <w:r>
        <w:separator/>
      </w:r>
    </w:p>
  </w:endnote>
  <w:endnote w:type="continuationSeparator" w:id="0">
    <w:p w:rsidR="00361BCD" w:rsidRDefault="00361BCD" w:rsidP="00BE67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818A6" w:rsidRDefault="00A818A6">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rsidR="00A818A6" w:rsidRDefault="00A818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61BCD" w:rsidRDefault="00361BCD" w:rsidP="00BE673A">
      <w:r>
        <w:separator/>
      </w:r>
    </w:p>
  </w:footnote>
  <w:footnote w:type="continuationSeparator" w:id="0">
    <w:p w:rsidR="00361BCD" w:rsidRDefault="00361BCD" w:rsidP="00BE67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E673A" w:rsidRPr="00BE673A" w:rsidRDefault="00BE673A" w:rsidP="00BE673A">
    <w:pPr>
      <w:pStyle w:val="Encabezado"/>
      <w:jc w:val="center"/>
      <w:rPr>
        <w:rFonts w:ascii="Times New Roman" w:hAnsi="Times New Roman" w:cs="Times New Roman"/>
        <w:lang w:val="es-ES"/>
      </w:rPr>
    </w:pPr>
    <w:r w:rsidRPr="00BE673A">
      <w:rPr>
        <w:rFonts w:ascii="Times New Roman" w:hAnsi="Times New Roman" w:cs="Times New Roman"/>
        <w:lang w:val="es-ES"/>
      </w:rPr>
      <w:t xml:space="preserve">Gobierno y Calidad del Dato </w:t>
    </w:r>
    <w:r w:rsidRPr="00BE673A">
      <w:rPr>
        <w:rFonts w:ascii="Times New Roman" w:hAnsi="Times New Roman" w:cs="Times New Roman"/>
        <w:lang w:val="es-ES"/>
      </w:rPr>
      <w:tab/>
    </w:r>
    <w:r w:rsidRPr="00BE673A">
      <w:rPr>
        <w:rFonts w:ascii="Times New Roman" w:hAnsi="Times New Roman" w:cs="Times New Roman"/>
        <w:lang w:val="es-ES"/>
      </w:rPr>
      <w:tab/>
      <w:t xml:space="preserve">      Juana María Rodríguez García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BD2247"/>
    <w:multiLevelType w:val="multilevel"/>
    <w:tmpl w:val="772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8920D6"/>
    <w:multiLevelType w:val="multilevel"/>
    <w:tmpl w:val="ED4AC29A"/>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FE9"/>
    <w:rsid w:val="000C291C"/>
    <w:rsid w:val="0018297D"/>
    <w:rsid w:val="00264FE9"/>
    <w:rsid w:val="00361BCD"/>
    <w:rsid w:val="00455BB7"/>
    <w:rsid w:val="00464BB4"/>
    <w:rsid w:val="00564602"/>
    <w:rsid w:val="005E5CC3"/>
    <w:rsid w:val="007444D5"/>
    <w:rsid w:val="007A5FFA"/>
    <w:rsid w:val="00825011"/>
    <w:rsid w:val="0095253C"/>
    <w:rsid w:val="00A818A6"/>
    <w:rsid w:val="00B622DD"/>
    <w:rsid w:val="00BE673A"/>
    <w:rsid w:val="00BF0789"/>
    <w:rsid w:val="00C62FF1"/>
    <w:rsid w:val="00DA4245"/>
    <w:rsid w:val="00E743CB"/>
    <w:rsid w:val="00F71EAD"/>
    <w:rsid w:val="00FE1364"/>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482B"/>
  <w14:defaultImageDpi w14:val="32767"/>
  <w15:chartTrackingRefBased/>
  <w15:docId w15:val="{90FC408D-BC3A-5249-BE1D-E8BB53249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64BB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BF0789"/>
    <w:pPr>
      <w:spacing w:before="100" w:beforeAutospacing="1" w:after="100" w:afterAutospacing="1"/>
      <w:outlineLvl w:val="1"/>
    </w:pPr>
    <w:rPr>
      <w:rFonts w:ascii="Times New Roman" w:eastAsia="Times New Roman" w:hAnsi="Times New Roman" w:cs="Times New Roman"/>
      <w:b/>
      <w:bCs/>
      <w:sz w:val="36"/>
      <w:szCs w:val="36"/>
      <w:lang w:val="es-ES" w:eastAsia="es-ES_tradnl"/>
    </w:rPr>
  </w:style>
  <w:style w:type="paragraph" w:styleId="Ttulo3">
    <w:name w:val="heading 3"/>
    <w:basedOn w:val="Normal"/>
    <w:link w:val="Ttulo3Car"/>
    <w:uiPriority w:val="9"/>
    <w:qFormat/>
    <w:rsid w:val="00BF0789"/>
    <w:pPr>
      <w:spacing w:before="100" w:beforeAutospacing="1" w:after="100" w:afterAutospacing="1"/>
      <w:outlineLvl w:val="2"/>
    </w:pPr>
    <w:rPr>
      <w:rFonts w:ascii="Times New Roman" w:eastAsia="Times New Roman" w:hAnsi="Times New Roman" w:cs="Times New Roman"/>
      <w:b/>
      <w:bCs/>
      <w:sz w:val="27"/>
      <w:szCs w:val="27"/>
      <w:lang w:val="es-ES"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itulo1">
    <w:name w:val="Titulo 1"/>
    <w:basedOn w:val="Ttulo1"/>
    <w:next w:val="Ttulo1"/>
    <w:autoRedefine/>
    <w:qFormat/>
    <w:rsid w:val="00464BB4"/>
    <w:pPr>
      <w:spacing w:before="480" w:after="120" w:line="259" w:lineRule="auto"/>
    </w:pPr>
    <w:rPr>
      <w:rFonts w:ascii="Times New Roman" w:eastAsia="Calibri" w:hAnsi="Times New Roman" w:cs="Calibri"/>
      <w:b/>
      <w:color w:val="auto"/>
      <w:sz w:val="24"/>
      <w:szCs w:val="48"/>
      <w:lang w:val="es-ES" w:eastAsia="es-ES"/>
    </w:rPr>
  </w:style>
  <w:style w:type="character" w:customStyle="1" w:styleId="Ttulo1Car">
    <w:name w:val="Título 1 Car"/>
    <w:basedOn w:val="Fuentedeprrafopredeter"/>
    <w:link w:val="Ttulo1"/>
    <w:uiPriority w:val="9"/>
    <w:rsid w:val="00464BB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0789"/>
    <w:rPr>
      <w:rFonts w:ascii="Times New Roman" w:eastAsia="Times New Roman" w:hAnsi="Times New Roman" w:cs="Times New Roman"/>
      <w:b/>
      <w:bCs/>
      <w:sz w:val="36"/>
      <w:szCs w:val="36"/>
      <w:lang w:val="es-ES" w:eastAsia="es-ES_tradnl"/>
    </w:rPr>
  </w:style>
  <w:style w:type="character" w:customStyle="1" w:styleId="Ttulo3Car">
    <w:name w:val="Título 3 Car"/>
    <w:basedOn w:val="Fuentedeprrafopredeter"/>
    <w:link w:val="Ttulo3"/>
    <w:uiPriority w:val="9"/>
    <w:rsid w:val="00BF0789"/>
    <w:rPr>
      <w:rFonts w:ascii="Times New Roman" w:eastAsia="Times New Roman" w:hAnsi="Times New Roman" w:cs="Times New Roman"/>
      <w:b/>
      <w:bCs/>
      <w:sz w:val="27"/>
      <w:szCs w:val="27"/>
      <w:lang w:val="es-ES" w:eastAsia="es-ES_tradnl"/>
    </w:rPr>
  </w:style>
  <w:style w:type="paragraph" w:styleId="NormalWeb">
    <w:name w:val="Normal (Web)"/>
    <w:basedOn w:val="Normal"/>
    <w:uiPriority w:val="99"/>
    <w:unhideWhenUsed/>
    <w:rsid w:val="00BF0789"/>
    <w:pPr>
      <w:spacing w:before="100" w:beforeAutospacing="1" w:after="100" w:afterAutospacing="1"/>
    </w:pPr>
    <w:rPr>
      <w:rFonts w:ascii="Times New Roman" w:eastAsia="Times New Roman" w:hAnsi="Times New Roman" w:cs="Times New Roman"/>
      <w:lang w:val="es-ES" w:eastAsia="es-ES_tradnl"/>
    </w:rPr>
  </w:style>
  <w:style w:type="character" w:styleId="CdigoHTML">
    <w:name w:val="HTML Code"/>
    <w:basedOn w:val="Fuentedeprrafopredeter"/>
    <w:uiPriority w:val="99"/>
    <w:semiHidden/>
    <w:unhideWhenUsed/>
    <w:rsid w:val="00BF0789"/>
    <w:rPr>
      <w:rFonts w:ascii="Courier New" w:eastAsia="Times New Roman" w:hAnsi="Courier New" w:cs="Courier New"/>
      <w:sz w:val="20"/>
      <w:szCs w:val="20"/>
    </w:rPr>
  </w:style>
  <w:style w:type="character" w:styleId="Textoennegrita">
    <w:name w:val="Strong"/>
    <w:basedOn w:val="Fuentedeprrafopredeter"/>
    <w:uiPriority w:val="22"/>
    <w:qFormat/>
    <w:rsid w:val="00DA4245"/>
    <w:rPr>
      <w:b/>
      <w:bCs/>
    </w:rPr>
  </w:style>
  <w:style w:type="table" w:styleId="Tablanormal3">
    <w:name w:val="Plain Table 3"/>
    <w:basedOn w:val="Tablanormal"/>
    <w:uiPriority w:val="43"/>
    <w:rsid w:val="00DA424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a">
    <w:name w:val="Grid Table 1 Light"/>
    <w:basedOn w:val="Tablanormal"/>
    <w:uiPriority w:val="46"/>
    <w:rsid w:val="00E743C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BE673A"/>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BE673A"/>
    <w:rPr>
      <w:rFonts w:ascii="Times New Roman" w:hAnsi="Times New Roman" w:cs="Times New Roman"/>
      <w:sz w:val="18"/>
      <w:szCs w:val="18"/>
    </w:rPr>
  </w:style>
  <w:style w:type="paragraph" w:styleId="Encabezado">
    <w:name w:val="header"/>
    <w:basedOn w:val="Normal"/>
    <w:link w:val="EncabezadoCar"/>
    <w:uiPriority w:val="99"/>
    <w:unhideWhenUsed/>
    <w:rsid w:val="00BE673A"/>
    <w:pPr>
      <w:tabs>
        <w:tab w:val="center" w:pos="4419"/>
        <w:tab w:val="right" w:pos="8838"/>
      </w:tabs>
    </w:pPr>
  </w:style>
  <w:style w:type="character" w:customStyle="1" w:styleId="EncabezadoCar">
    <w:name w:val="Encabezado Car"/>
    <w:basedOn w:val="Fuentedeprrafopredeter"/>
    <w:link w:val="Encabezado"/>
    <w:uiPriority w:val="99"/>
    <w:rsid w:val="00BE673A"/>
  </w:style>
  <w:style w:type="paragraph" w:styleId="Piedepgina">
    <w:name w:val="footer"/>
    <w:basedOn w:val="Normal"/>
    <w:link w:val="PiedepginaCar"/>
    <w:uiPriority w:val="99"/>
    <w:unhideWhenUsed/>
    <w:rsid w:val="00BE673A"/>
    <w:pPr>
      <w:tabs>
        <w:tab w:val="center" w:pos="4419"/>
        <w:tab w:val="right" w:pos="8838"/>
      </w:tabs>
    </w:pPr>
  </w:style>
  <w:style w:type="character" w:customStyle="1" w:styleId="PiedepginaCar">
    <w:name w:val="Pie de página Car"/>
    <w:basedOn w:val="Fuentedeprrafopredeter"/>
    <w:link w:val="Piedepgina"/>
    <w:uiPriority w:val="99"/>
    <w:rsid w:val="00BE673A"/>
  </w:style>
  <w:style w:type="table" w:styleId="Tablaconcuadrcula2-nfasis5">
    <w:name w:val="Grid Table 2 Accent 5"/>
    <w:basedOn w:val="Tablanormal"/>
    <w:uiPriority w:val="47"/>
    <w:rsid w:val="00A818A6"/>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5">
    <w:name w:val="Grid Table 4 Accent 5"/>
    <w:basedOn w:val="Tablanormal"/>
    <w:uiPriority w:val="49"/>
    <w:rsid w:val="00A818A6"/>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1clara-nfasis1">
    <w:name w:val="Grid Table 1 Light Accent 1"/>
    <w:basedOn w:val="Tablanormal"/>
    <w:uiPriority w:val="46"/>
    <w:rsid w:val="00A818A6"/>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312022">
      <w:bodyDiv w:val="1"/>
      <w:marLeft w:val="0"/>
      <w:marRight w:val="0"/>
      <w:marTop w:val="0"/>
      <w:marBottom w:val="0"/>
      <w:divBdr>
        <w:top w:val="none" w:sz="0" w:space="0" w:color="auto"/>
        <w:left w:val="none" w:sz="0" w:space="0" w:color="auto"/>
        <w:bottom w:val="none" w:sz="0" w:space="0" w:color="auto"/>
        <w:right w:val="none" w:sz="0" w:space="0" w:color="auto"/>
      </w:divBdr>
    </w:div>
    <w:div w:id="118455890">
      <w:bodyDiv w:val="1"/>
      <w:marLeft w:val="0"/>
      <w:marRight w:val="0"/>
      <w:marTop w:val="0"/>
      <w:marBottom w:val="0"/>
      <w:divBdr>
        <w:top w:val="none" w:sz="0" w:space="0" w:color="auto"/>
        <w:left w:val="none" w:sz="0" w:space="0" w:color="auto"/>
        <w:bottom w:val="none" w:sz="0" w:space="0" w:color="auto"/>
        <w:right w:val="none" w:sz="0" w:space="0" w:color="auto"/>
      </w:divBdr>
    </w:div>
    <w:div w:id="140971649">
      <w:bodyDiv w:val="1"/>
      <w:marLeft w:val="0"/>
      <w:marRight w:val="0"/>
      <w:marTop w:val="0"/>
      <w:marBottom w:val="0"/>
      <w:divBdr>
        <w:top w:val="none" w:sz="0" w:space="0" w:color="auto"/>
        <w:left w:val="none" w:sz="0" w:space="0" w:color="auto"/>
        <w:bottom w:val="none" w:sz="0" w:space="0" w:color="auto"/>
        <w:right w:val="none" w:sz="0" w:space="0" w:color="auto"/>
      </w:divBdr>
    </w:div>
    <w:div w:id="317004584">
      <w:bodyDiv w:val="1"/>
      <w:marLeft w:val="0"/>
      <w:marRight w:val="0"/>
      <w:marTop w:val="0"/>
      <w:marBottom w:val="0"/>
      <w:divBdr>
        <w:top w:val="none" w:sz="0" w:space="0" w:color="auto"/>
        <w:left w:val="none" w:sz="0" w:space="0" w:color="auto"/>
        <w:bottom w:val="none" w:sz="0" w:space="0" w:color="auto"/>
        <w:right w:val="none" w:sz="0" w:space="0" w:color="auto"/>
      </w:divBdr>
    </w:div>
    <w:div w:id="630130755">
      <w:bodyDiv w:val="1"/>
      <w:marLeft w:val="0"/>
      <w:marRight w:val="0"/>
      <w:marTop w:val="0"/>
      <w:marBottom w:val="0"/>
      <w:divBdr>
        <w:top w:val="none" w:sz="0" w:space="0" w:color="auto"/>
        <w:left w:val="none" w:sz="0" w:space="0" w:color="auto"/>
        <w:bottom w:val="none" w:sz="0" w:space="0" w:color="auto"/>
        <w:right w:val="none" w:sz="0" w:space="0" w:color="auto"/>
      </w:divBdr>
    </w:div>
    <w:div w:id="642537551">
      <w:bodyDiv w:val="1"/>
      <w:marLeft w:val="0"/>
      <w:marRight w:val="0"/>
      <w:marTop w:val="0"/>
      <w:marBottom w:val="0"/>
      <w:divBdr>
        <w:top w:val="none" w:sz="0" w:space="0" w:color="auto"/>
        <w:left w:val="none" w:sz="0" w:space="0" w:color="auto"/>
        <w:bottom w:val="none" w:sz="0" w:space="0" w:color="auto"/>
        <w:right w:val="none" w:sz="0" w:space="0" w:color="auto"/>
      </w:divBdr>
    </w:div>
    <w:div w:id="680738358">
      <w:bodyDiv w:val="1"/>
      <w:marLeft w:val="0"/>
      <w:marRight w:val="0"/>
      <w:marTop w:val="0"/>
      <w:marBottom w:val="0"/>
      <w:divBdr>
        <w:top w:val="none" w:sz="0" w:space="0" w:color="auto"/>
        <w:left w:val="none" w:sz="0" w:space="0" w:color="auto"/>
        <w:bottom w:val="none" w:sz="0" w:space="0" w:color="auto"/>
        <w:right w:val="none" w:sz="0" w:space="0" w:color="auto"/>
      </w:divBdr>
    </w:div>
    <w:div w:id="773669845">
      <w:bodyDiv w:val="1"/>
      <w:marLeft w:val="0"/>
      <w:marRight w:val="0"/>
      <w:marTop w:val="0"/>
      <w:marBottom w:val="0"/>
      <w:divBdr>
        <w:top w:val="none" w:sz="0" w:space="0" w:color="auto"/>
        <w:left w:val="none" w:sz="0" w:space="0" w:color="auto"/>
        <w:bottom w:val="none" w:sz="0" w:space="0" w:color="auto"/>
        <w:right w:val="none" w:sz="0" w:space="0" w:color="auto"/>
      </w:divBdr>
    </w:div>
    <w:div w:id="1072313953">
      <w:bodyDiv w:val="1"/>
      <w:marLeft w:val="0"/>
      <w:marRight w:val="0"/>
      <w:marTop w:val="0"/>
      <w:marBottom w:val="0"/>
      <w:divBdr>
        <w:top w:val="none" w:sz="0" w:space="0" w:color="auto"/>
        <w:left w:val="none" w:sz="0" w:space="0" w:color="auto"/>
        <w:bottom w:val="none" w:sz="0" w:space="0" w:color="auto"/>
        <w:right w:val="none" w:sz="0" w:space="0" w:color="auto"/>
      </w:divBdr>
    </w:div>
    <w:div w:id="1427115944">
      <w:bodyDiv w:val="1"/>
      <w:marLeft w:val="0"/>
      <w:marRight w:val="0"/>
      <w:marTop w:val="0"/>
      <w:marBottom w:val="0"/>
      <w:divBdr>
        <w:top w:val="none" w:sz="0" w:space="0" w:color="auto"/>
        <w:left w:val="none" w:sz="0" w:space="0" w:color="auto"/>
        <w:bottom w:val="none" w:sz="0" w:space="0" w:color="auto"/>
        <w:right w:val="none" w:sz="0" w:space="0" w:color="auto"/>
      </w:divBdr>
    </w:div>
    <w:div w:id="1991329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682</Words>
  <Characters>3756</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cp:revision>
  <cp:lastPrinted>2026-04-09T18:54:00Z</cp:lastPrinted>
  <dcterms:created xsi:type="dcterms:W3CDTF">2026-04-09T18:54:00Z</dcterms:created>
  <dcterms:modified xsi:type="dcterms:W3CDTF">2026-04-27T15:57:00Z</dcterms:modified>
</cp:coreProperties>
</file>