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Tandil 10 de enero de 2025 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>Juzgado de familia Número 2 . Tandil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>Doctor Zaralegui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Por medio de la presente informa a Usted sobre el paciente Silva Luciano con DNI 41 541 283. Paciente que presenta internación previa en clínica Teresa de Calcuta por consumo crónico de cocaína y alcohol. En dicha institución recibe tratamiento psicológico y psicofarmacológico. Posterior al alta continúa tratamiento ambulatorio con dicha profesional. Concurre entrevista el 3/12/ 2024 donde se encuentra vigil, globalmente orientado, negando deseos de consumo refiere que una de las medicaciones le da somnolencia por lo cual no la toma. Se solicita función renal y litemia para control de la medicación. Concurre nuevamente el 2/1/ 2025 donde refiere que no realizó estudios solicitados ya que "no tenía ganas" . Con último consumo hace 4 días aproximadamente de cocaína y alcohol. Concurre acompañado de su madre a las entrevistas quien refiere que bajo consumo presenta ideación delirante de tipo paranoide con alucinaciones auditivas y visuales refiere también que ha consumido alcohol . Su madre refiere que el paciente presenta deudas monetarias debido a que utiliza el dinero para el consumo de cocaína. Al exámen vigil, reticente a continuar el tratamiento psicofarmacológico, sin conciencia de enfermedad se sugiere internación para estabilización de su cuadro a la cual se niega. Al exámen lúcido, globalmente orientado, no se evidencia ideación delirante aguda. No respeta el tratamiento psicofarmacológico indicado. Reticente a la entrevista sin deseos de colaborar en su mejoría. Actualmente es chofer de colectivo público. Se le sugiere a ambos la internación pero tanto la madre como el paciente acuerdan darle un tiempo al paciente para cumplir el tratamiento psicofarmacológico. Pese a esto la indicación médica es poder evaluar al paciente a fin de realizar su internación para estabilización de su cuadro ya que presenta una evolución tórpida con deterioro cognitivo moderado donde no cumple las normas de autocuidado personal y de adherencia al tratamiento tanto farmacológico como psicológico. En tratamiento con armodafinilo 150 mg/ día. Carbonato de litio 900 mg/ día. Baclofeno 30 mg/ día y brexpiprazol 3mg/día. 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>Evolución tórpida .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Pronóstico reservado. 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Se indica de forma urgente su evaluación en institución especializada para poder eventualmente realizar internación del paciente y estabilización de su cuadro. </w:t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Atte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36776115" w:val="1222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2025-01-13T13:49:06Z</cp:lastPrinted>
  <dcterms:created xsi:type="dcterms:W3CDTF">2025-01-13T13:48:11Z</dcterms:created>
  <dcterms:modified xsi:type="dcterms:W3CDTF">2025-01-13T13:48:35Z</dcterms:modified>
</cp:coreProperties>
</file>