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595F3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Magdalena Elsa Cartelle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595F3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3489776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03A1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C03A18">
              <w:rPr>
                <w:color w:val="000000" w:themeColor="text1"/>
                <w:sz w:val="24"/>
                <w:szCs w:val="24"/>
                <w:lang w:val="es-MX"/>
              </w:rPr>
              <w:t>2</w:t>
            </w:r>
            <w:r w:rsidR="00595F39">
              <w:rPr>
                <w:color w:val="000000" w:themeColor="text1"/>
                <w:sz w:val="24"/>
                <w:szCs w:val="24"/>
                <w:lang w:val="es-MX"/>
              </w:rPr>
              <w:t>0/04/1937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595F3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95F3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2494637135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595F3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Procasa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4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pje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2 casa 186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108pt;height:18pt" o:ole="">
                  <v:imagedata r:id="rId5" o:title=""/>
                </v:shape>
                <w:control r:id="rId6" w:name="OptionButton1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17" o:title=""/>
                </v:shape>
                <w:control r:id="rId18" w:name="OptionButton7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595F39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E33299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38814-435C-45CA-9406-3C8594540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2024-11-04T12:59:00Z</dcterms:created>
  <dcterms:modified xsi:type="dcterms:W3CDTF">2024-11-04T12:59:00Z</dcterms:modified>
</cp:coreProperties>
</file>