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Tandil 10 de enero de 2025 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Juzgado de familia Número 2 . Tandil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Doctor Zaralegui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Por medio de la presente informa a Usted sobre el paciente Silva Luciano con DNI 41 541 283. Paciente que presenta internación previa en clínica Teresa de Calcuta por consumo crónico de cocaína y alcohol. En dicha institución recibe tratamiento psicológico y psicofarmacológico. Posterior al alta continúa tratamiento ambulatorio con dicha profesional. Concurre entrevista el 3/12/ 2024 donde se encuentra vigil, globalmente orientado, negando deseos de consumo refiere que una de las medicaciones le da somnolencia por lo cual no la toma. Se solicita función renal y litemia para control de la medicación. Concurre nuevamente el 2/1/ 2025 donde refiere que no realizó estudios solicitados ya que "no tenía ganas" . Con último consumo hace 4 días aproximadamente de cocaína y alcohol. Concurre acompañado de su madre a las entrevistas quien refiere que bajo consumo presenta ideación delirante de tipo paranoide con alucinaciones auditivas y visuales refiere también que ha consumido alcohol . Su madre refiere que el paciente presenta deudas monetarias debido a que utiliza el dinero para el consumo de cocaína. Al exámen vigil, reticente a continuar el tratamiento psicofarmacológico, sin conciencia de enfermedad se sugiere internación para estabilización de su cuadro a la cual se niega. Al exámen lúcido, globalmente orientado, no se evidencia ideación delirante aguda. No respeta el tratamiento psicofarmacológico indicado. Reticente a la entrevista sin deseos de colaborar en su mejoría. Actualmente es chofer de colectivo público. Se le sugiere a ambos la internación pero tanto la madre como el paciente acuerdan darle un tiempo al paciente para cumplir el tratamiento psicofarmacológico. Pese a esto la indicación médica es poder evaluar al paciente a fin de realizar su internación para estabilización de su cuadro ya que presenta una evolución tórpida con deterioro cognitivo moderado donde no cumple las normas de autocuidado personal y de adherencia al tratamiento tanto farmacológico como psicológico. En tratamiento con armodafinilo 150 mg/ día. Carbonato de litio 900 mg/ día. Baclofeno 30 mg/ día y brexpiprazol 3mg/día. 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Evolución tórpida .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Pronóstico reservado. 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 indica de forma urgente su evaluación en institución especializada para poder eventualmente realizar internación del paciente y estabilización de su cuadro. 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Atte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0"/>
      <w:tmLastPosIdx w:val="8"/>
    </w:tmLastPosCaret>
    <w:tmLastPosAnchor>
      <w:tmLastPosPgfIdx w:val="0"/>
      <w:tmLastPosIdx w:val="0"/>
    </w:tmLastPosAnchor>
    <w:tmLastPosTblRect w:left="0" w:top="0" w:right="0" w:bottom="0"/>
  </w:tmLastPos>
  <w:tmAppRevision w:date="1736868711" w:val="1222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2025-01-14T15:32:01Z</cp:lastPrinted>
  <dcterms:created xsi:type="dcterms:W3CDTF">2025-01-14T15:30:25Z</dcterms:created>
  <dcterms:modified xsi:type="dcterms:W3CDTF">2025-01-14T15:31:51Z</dcterms:modified>
</cp:coreProperties>
</file>