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zo308h2cjzg" w:id="0"/>
      <w:bookmarkEnd w:id="0"/>
      <w:r w:rsidDel="00000000" w:rsidR="00000000" w:rsidRPr="00000000">
        <w:rPr>
          <w:b w:val="1"/>
          <w:bCs w:val="1"/>
          <w:sz w:val="46"/>
          <w:szCs w:val="46"/>
          <w:rtl w:val="0"/>
        </w:rPr>
        <w:t xml:space="preserve">Le droit face aux enjeux de la transition écologique : fondements, évolutions et perspectives</w:t>
      </w:r>
    </w:p>
    <w:p w:rsidR="00000000" w:rsidDel="00000000" w:rsidP="00000000" w:rsidRDefault="00000000" w:rsidRPr="00000000" w14:paraId="00000002">
      <w:pPr>
        <w:spacing w:after="240" w:before="240" w:lineRule="auto"/>
        <w:rPr/>
      </w:pPr>
      <w:r w:rsidDel="00000000" w:rsidR="00000000" w:rsidRPr="00000000">
        <w:rPr>
          <w:rtl w:val="0"/>
        </w:rPr>
        <w:t xml:space="preserve">Ce document de synthèse analyse les interactions complexes entre les cadres juridiques et la transition écologique. Il explore comment le droit, traditionnellement conçu pour régir les rapports humains et protéger la propriété, évolue pour intégrer la protection de la biosphère, la reconnaissance de la sensibilité animale et la gestion des risques scientifiques incertains.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0x226mofmzr" w:id="1"/>
      <w:bookmarkEnd w:id="1"/>
      <w:r w:rsidDel="00000000" w:rsidR="00000000" w:rsidRPr="00000000">
        <w:rPr>
          <w:b w:val="1"/>
          <w:bCs w:val="1"/>
          <w:sz w:val="34"/>
          <w:szCs w:val="34"/>
          <w:rtl w:val="0"/>
        </w:rPr>
        <w:t xml:space="preserve">Synthèse : Le droit comme moteur de la transition écologique</w:t>
      </w:r>
    </w:p>
    <w:p w:rsidR="00000000" w:rsidDel="00000000" w:rsidP="00000000" w:rsidRDefault="00000000" w:rsidRPr="00000000" w14:paraId="00000004">
      <w:pPr>
        <w:spacing w:after="240" w:before="240" w:lineRule="auto"/>
        <w:rPr/>
      </w:pPr>
      <w:r w:rsidDel="00000000" w:rsidR="00000000" w:rsidRPr="00000000">
        <w:rPr>
          <w:rtl w:val="0"/>
        </w:rPr>
        <w:t xml:space="preserve">La relation entre le droit et la transition écologique se définit par une mutation profonde de la finalité des normes. Initialement, le droit de l'environnement s'inscrivait dans une fonction purement préventive, visant à limiter les nouvelles atteintes au patrimoine écologique. Désormais, il devient un moteur de restauration et d'amélioration. L’article II de la Charte de l’environnement dispose ainsi que toute personne a le devoir de prendre part à la préservation, mais aussi à l'amélioration de l'environnement. Le droit n'est plus seulement une limite à l'activité humaine, mais un instrument de reconquête de la biodiversité par le biais d'obligations de restauration générales (Objectifs d'Aichi, directive-cadre sur l'eau) et individuelles (mesures compensatoires).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Points clés à retenir :</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bCs w:val="1"/>
          <w:rtl w:val="0"/>
        </w:rPr>
        <w:t xml:space="preserve">Changement de paradigme :</w:t>
      </w:r>
      <w:r w:rsidDel="00000000" w:rsidR="00000000" w:rsidRPr="00000000">
        <w:rPr>
          <w:rtl w:val="0"/>
        </w:rPr>
        <w:t xml:space="preserve"> Passage d'une vision anthropocentrée (la nature comme ressource) à une vision plus éco-centrée (reconnaissance du préjudice écologique pur et de la solidarité écologique).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Le principe de précaution :</w:t>
      </w:r>
      <w:r w:rsidDel="00000000" w:rsidR="00000000" w:rsidRPr="00000000">
        <w:rPr>
          <w:rtl w:val="0"/>
        </w:rPr>
        <w:t xml:space="preserve"> Désormais de rang constitutionnel en France, il impose l'action face à des risques graves ou irréversibles, même en l'absence de certitudes scientifiques.</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Évolution du statut du vivant :</w:t>
      </w:r>
      <w:r w:rsidDel="00000000" w:rsidR="00000000" w:rsidRPr="00000000">
        <w:rPr>
          <w:rtl w:val="0"/>
        </w:rPr>
        <w:t xml:space="preserve"> Les animaux passent du statut de « biens meubles » à celui « d'êtres vivants doués de sensibilité » dans le Code civil (2015), ouvrant le débat sur la personnalité juridique.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Internationalisation et justice :</w:t>
      </w:r>
      <w:r w:rsidDel="00000000" w:rsidR="00000000" w:rsidRPr="00000000">
        <w:rPr>
          <w:rtl w:val="0"/>
        </w:rPr>
        <w:t xml:space="preserve"> Émergence de concepts tels que le crime d'écocide, visant à responsabiliser pénalement les dirigeants pour les destructions d'écosystèmes.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b w:val="1"/>
          <w:bCs w:val="1"/>
          <w:rtl w:val="0"/>
        </w:rPr>
        <w:t xml:space="preserve">Limites intrinsèques :</w:t>
      </w:r>
      <w:r w:rsidDel="00000000" w:rsidR="00000000" w:rsidRPr="00000000">
        <w:rPr>
          <w:rtl w:val="0"/>
        </w:rPr>
        <w:t xml:space="preserve"> Le droit doit concilier la protection environnementale avec d'autres principes constitutionnels comme la liberté d'entreprendre et le droit de propriété.</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6m8baybnzh4" w:id="2"/>
      <w:bookmarkEnd w:id="2"/>
      <w:r w:rsidDel="00000000" w:rsidR="00000000" w:rsidRPr="00000000">
        <w:rPr>
          <w:b w:val="1"/>
          <w:bCs w:val="1"/>
          <w:sz w:val="34"/>
          <w:szCs w:val="34"/>
          <w:rtl w:val="0"/>
        </w:rPr>
        <w:t xml:space="preserve">I. Les principes fondamentaux de l'action juridique environnementale</w:t>
      </w:r>
    </w:p>
    <w:p w:rsidR="00000000" w:rsidDel="00000000" w:rsidP="00000000" w:rsidRDefault="00000000" w:rsidRPr="00000000" w14:paraId="0000000D">
      <w:pPr>
        <w:spacing w:after="240" w:before="240" w:lineRule="auto"/>
        <w:rPr/>
      </w:pPr>
      <w:r w:rsidDel="00000000" w:rsidR="00000000" w:rsidRPr="00000000">
        <w:rPr>
          <w:rtl w:val="0"/>
        </w:rPr>
        <w:t xml:space="preserve">L'arsenal juridique s'appuie sur des principes structurants qui permettent de passer de la théorie politique à l'obligation normative.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rgrgqh0cxb2" w:id="3"/>
      <w:bookmarkEnd w:id="3"/>
      <w:r w:rsidDel="00000000" w:rsidR="00000000" w:rsidRPr="00000000">
        <w:rPr>
          <w:b w:val="1"/>
          <w:bCs w:val="1"/>
          <w:color w:val="000000"/>
          <w:sz w:val="26"/>
          <w:szCs w:val="26"/>
          <w:rtl w:val="0"/>
        </w:rPr>
        <w:t xml:space="preserve">1. La prévention et la restauration</w:t>
      </w:r>
    </w:p>
    <w:p w:rsidR="00000000" w:rsidDel="00000000" w:rsidP="00000000" w:rsidRDefault="00000000" w:rsidRPr="00000000" w14:paraId="0000000F">
      <w:pPr>
        <w:spacing w:after="240" w:before="240" w:lineRule="auto"/>
        <w:rPr/>
      </w:pPr>
      <w:r w:rsidDel="00000000" w:rsidR="00000000" w:rsidRPr="00000000">
        <w:rPr>
          <w:rtl w:val="0"/>
        </w:rPr>
        <w:t xml:space="preserve">Le droit impose désormais une séquence stricte aux porteurs de projets : </w:t>
      </w:r>
      <w:r w:rsidDel="00000000" w:rsidR="00000000" w:rsidRPr="00000000">
        <w:rPr>
          <w:b w:val="1"/>
          <w:bCs w:val="1"/>
          <w:rtl w:val="0"/>
        </w:rPr>
        <w:t xml:space="preserve">Éviter, Réduire, Compenser (ERC)</w:t>
      </w:r>
      <w:r w:rsidDel="00000000" w:rsidR="00000000" w:rsidRPr="00000000">
        <w:rPr>
          <w:rtl w:val="0"/>
        </w:rPr>
        <w:t xml:space="preserve">. La compensation, introduite dès 1976 mais réellement encadrée par la loi de 2016, exige qu'il n'y ait « aucune perte nette » de biodiversité. Cela nécessite le recours à l'ingénierie écologique pour restaurer des sites dégradés.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d7m8x082gu0u" w:id="4"/>
      <w:bookmarkEnd w:id="4"/>
      <w:r w:rsidDel="00000000" w:rsidR="00000000" w:rsidRPr="00000000">
        <w:rPr>
          <w:b w:val="1"/>
          <w:bCs w:val="1"/>
          <w:color w:val="000000"/>
          <w:sz w:val="26"/>
          <w:szCs w:val="26"/>
          <w:rtl w:val="0"/>
        </w:rPr>
        <w:t xml:space="preserve">2. Le principe de précaution</w:t>
      </w:r>
    </w:p>
    <w:p w:rsidR="00000000" w:rsidDel="00000000" w:rsidP="00000000" w:rsidRDefault="00000000" w:rsidRPr="00000000" w14:paraId="00000011">
      <w:pPr>
        <w:spacing w:after="240" w:before="240" w:lineRule="auto"/>
        <w:rPr/>
      </w:pPr>
      <w:r w:rsidDel="00000000" w:rsidR="00000000" w:rsidRPr="00000000">
        <w:rPr>
          <w:rtl w:val="0"/>
        </w:rPr>
        <w:t xml:space="preserve">Né en Allemagne (</w:t>
      </w:r>
      <w:r w:rsidDel="00000000" w:rsidR="00000000" w:rsidRPr="00000000">
        <w:rPr>
          <w:i w:val="1"/>
          <w:iCs w:val="1"/>
          <w:rtl w:val="0"/>
        </w:rPr>
        <w:t xml:space="preserve">Vorsorgeprinzip</w:t>
      </w:r>
      <w:r w:rsidDel="00000000" w:rsidR="00000000" w:rsidRPr="00000000">
        <w:rPr>
          <w:rtl w:val="0"/>
        </w:rPr>
        <w:t xml:space="preserve">), consacré à Rio (1992) puis dans la Constitution française (2004), ce principe s'applique dans un contexte d'incertitude scientifique.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Conditions :</w:t>
      </w:r>
      <w:r w:rsidDel="00000000" w:rsidR="00000000" w:rsidRPr="00000000">
        <w:rPr>
          <w:rtl w:val="0"/>
        </w:rPr>
        <w:t xml:space="preserve"> Risques de dommages graves ou irréversibles.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Mise en œuvre :</w:t>
      </w:r>
      <w:r w:rsidDel="00000000" w:rsidR="00000000" w:rsidRPr="00000000">
        <w:rPr>
          <w:rtl w:val="0"/>
        </w:rPr>
        <w:t xml:space="preserve"> L'absence de certitude ne doit pas retarder l'adoption de mesures effectives et proportionnées.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Exemple des OGM :</w:t>
      </w:r>
      <w:r w:rsidDel="00000000" w:rsidR="00000000" w:rsidRPr="00000000">
        <w:rPr>
          <w:rtl w:val="0"/>
        </w:rPr>
        <w:t xml:space="preserve"> Les scientifiques ont eux-mêmes instauré un moratoire dès les années 70 (Asilomar), illustrant une auto-application du principe avant sa codification.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ugqavi8zcqke" w:id="5"/>
      <w:bookmarkEnd w:id="5"/>
      <w:r w:rsidDel="00000000" w:rsidR="00000000" w:rsidRPr="00000000">
        <w:rPr>
          <w:b w:val="1"/>
          <w:bCs w:val="1"/>
          <w:color w:val="000000"/>
          <w:sz w:val="26"/>
          <w:szCs w:val="26"/>
          <w:rtl w:val="0"/>
        </w:rPr>
        <w:t xml:space="preserve">3. La non-régression</w:t>
      </w:r>
    </w:p>
    <w:p w:rsidR="00000000" w:rsidDel="00000000" w:rsidP="00000000" w:rsidRDefault="00000000" w:rsidRPr="00000000" w14:paraId="00000016">
      <w:pPr>
        <w:spacing w:after="240" w:before="240" w:lineRule="auto"/>
        <w:rPr/>
      </w:pPr>
      <w:r w:rsidDel="00000000" w:rsidR="00000000" w:rsidRPr="00000000">
        <w:rPr>
          <w:rtl w:val="0"/>
        </w:rPr>
        <w:t xml:space="preserve">Ce principe stipule que la protection de l'environnement, assurée par les dispositions législatives et réglementaires, ne peut faire l'objet que d'une amélioration constante, interdisant tout recul des normes protectrices.</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itxtlgd22ew" w:id="6"/>
      <w:bookmarkEnd w:id="6"/>
      <w:r w:rsidDel="00000000" w:rsidR="00000000" w:rsidRPr="00000000">
        <w:rPr>
          <w:b w:val="1"/>
          <w:bCs w:val="1"/>
          <w:sz w:val="34"/>
          <w:szCs w:val="34"/>
          <w:rtl w:val="0"/>
        </w:rPr>
        <w:t xml:space="preserve">II. L'évolution du statut juridique du vivant</w:t>
      </w:r>
    </w:p>
    <w:p w:rsidR="00000000" w:rsidDel="00000000" w:rsidP="00000000" w:rsidRDefault="00000000" w:rsidRPr="00000000" w14:paraId="00000019">
      <w:pPr>
        <w:spacing w:after="240" w:before="240" w:lineRule="auto"/>
        <w:rPr/>
      </w:pPr>
      <w:r w:rsidDel="00000000" w:rsidR="00000000" w:rsidRPr="00000000">
        <w:rPr>
          <w:rtl w:val="0"/>
        </w:rPr>
        <w:t xml:space="preserve">Le droit animalier et la protection de la biodiversité marquent une rupture avec la tradition juridique classique.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5qm2j5acsd8" w:id="7"/>
      <w:bookmarkEnd w:id="7"/>
      <w:r w:rsidDel="00000000" w:rsidR="00000000" w:rsidRPr="00000000">
        <w:rPr>
          <w:b w:val="1"/>
          <w:bCs w:val="1"/>
          <w:color w:val="000000"/>
          <w:sz w:val="26"/>
          <w:szCs w:val="26"/>
          <w:rtl w:val="0"/>
        </w:rPr>
        <w:t xml:space="preserve">1. De la propriété à la sensibilité</w:t>
      </w:r>
    </w:p>
    <w:p w:rsidR="00000000" w:rsidDel="00000000" w:rsidP="00000000" w:rsidRDefault="00000000" w:rsidRPr="00000000" w14:paraId="0000001B">
      <w:pPr>
        <w:spacing w:after="240" w:before="240" w:lineRule="auto"/>
        <w:rPr/>
      </w:pPr>
      <w:r w:rsidDel="00000000" w:rsidR="00000000" w:rsidRPr="00000000">
        <w:rPr>
          <w:rtl w:val="0"/>
        </w:rPr>
        <w:t xml:space="preserve">Historiquement, l'animal a été jugé pénalement (procès de cochons au Moyen-Âge) avant d'être réduit à un objet de propriété. La législation française a évolué par étapes :</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b w:val="1"/>
          <w:bCs w:val="1"/>
          <w:rtl w:val="0"/>
        </w:rPr>
        <w:t xml:space="preserve">1850 (Loi Grammont) :</w:t>
      </w:r>
      <w:r w:rsidDel="00000000" w:rsidR="00000000" w:rsidRPr="00000000">
        <w:rPr>
          <w:rtl w:val="0"/>
        </w:rPr>
        <w:t xml:space="preserve"> Sanction de la cruauté publique.</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1976 (Code rural) :</w:t>
      </w:r>
      <w:r w:rsidDel="00000000" w:rsidR="00000000" w:rsidRPr="00000000">
        <w:rPr>
          <w:rtl w:val="0"/>
        </w:rPr>
        <w:t xml:space="preserve"> Reconnaissance de l'animal comme être sensible.</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b w:val="1"/>
          <w:bCs w:val="1"/>
          <w:rtl w:val="0"/>
        </w:rPr>
        <w:t xml:space="preserve">2015 (Code civil) :</w:t>
      </w:r>
      <w:r w:rsidDel="00000000" w:rsidR="00000000" w:rsidRPr="00000000">
        <w:rPr>
          <w:rtl w:val="0"/>
        </w:rPr>
        <w:t xml:space="preserve"> L'animal n'est plus un bien meuble mais un être vivant doué de sensibilité.</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78unern6mbd" w:id="8"/>
      <w:bookmarkEnd w:id="8"/>
      <w:r w:rsidDel="00000000" w:rsidR="00000000" w:rsidRPr="00000000">
        <w:rPr>
          <w:b w:val="1"/>
          <w:bCs w:val="1"/>
          <w:color w:val="000000"/>
          <w:sz w:val="26"/>
          <w:szCs w:val="26"/>
          <w:rtl w:val="0"/>
        </w:rPr>
        <w:t xml:space="preserve">2. Vers une personnalité juridique ?</w:t>
      </w:r>
    </w:p>
    <w:p w:rsidR="00000000" w:rsidDel="00000000" w:rsidP="00000000" w:rsidRDefault="00000000" w:rsidRPr="00000000" w14:paraId="00000020">
      <w:pPr>
        <w:spacing w:after="240" w:before="240" w:lineRule="auto"/>
        <w:rPr/>
      </w:pPr>
      <w:r w:rsidDel="00000000" w:rsidR="00000000" w:rsidRPr="00000000">
        <w:rPr>
          <w:rtl w:val="0"/>
        </w:rPr>
        <w:t xml:space="preserve">La </w:t>
      </w:r>
      <w:r w:rsidDel="00000000" w:rsidR="00000000" w:rsidRPr="00000000">
        <w:rPr>
          <w:b w:val="1"/>
          <w:bCs w:val="1"/>
          <w:rtl w:val="0"/>
        </w:rPr>
        <w:t xml:space="preserve">Déclaration de Toulon (2019)</w:t>
      </w:r>
      <w:r w:rsidDel="00000000" w:rsidR="00000000" w:rsidRPr="00000000">
        <w:rPr>
          <w:rtl w:val="0"/>
        </w:rPr>
        <w:t xml:space="preserve">, en réponse à la Déclaration de Cambridge sur la conscience (2012), soutient que la personnalité juridique devrait être reconnue aux animaux. Des théories politiques, comme celles développées dans </w:t>
      </w:r>
      <w:r w:rsidDel="00000000" w:rsidR="00000000" w:rsidRPr="00000000">
        <w:rPr>
          <w:i w:val="1"/>
          <w:iCs w:val="1"/>
          <w:rtl w:val="0"/>
        </w:rPr>
        <w:t xml:space="preserve">Zoopolis</w:t>
      </w:r>
      <w:r w:rsidDel="00000000" w:rsidR="00000000" w:rsidRPr="00000000">
        <w:rPr>
          <w:rtl w:val="0"/>
        </w:rPr>
        <w:t xml:space="preserve">, proposent de catégoriser les animaux pour leur attribuer des droits spécifiques :</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Animaux domestiques :</w:t>
      </w:r>
      <w:r w:rsidDel="00000000" w:rsidR="00000000" w:rsidRPr="00000000">
        <w:rPr>
          <w:rtl w:val="0"/>
        </w:rPr>
        <w:t xml:space="preserve"> Citoyenneté.</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Animaux sauvages :</w:t>
      </w:r>
      <w:r w:rsidDel="00000000" w:rsidR="00000000" w:rsidRPr="00000000">
        <w:rPr>
          <w:rtl w:val="0"/>
        </w:rPr>
        <w:t xml:space="preserve"> Souveraineté sur leur territoire.</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Animaux liminaires :</w:t>
      </w:r>
      <w:r w:rsidDel="00000000" w:rsidR="00000000" w:rsidRPr="00000000">
        <w:rPr>
          <w:rtl w:val="0"/>
        </w:rPr>
        <w:t xml:space="preserve"> Statut de résidents.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krv1zx765uk6" w:id="9"/>
      <w:bookmarkEnd w:id="9"/>
      <w:r w:rsidDel="00000000" w:rsidR="00000000" w:rsidRPr="00000000">
        <w:rPr>
          <w:b w:val="1"/>
          <w:bCs w:val="1"/>
          <w:color w:val="000000"/>
          <w:sz w:val="26"/>
          <w:szCs w:val="26"/>
          <w:rtl w:val="0"/>
        </w:rPr>
        <w:t xml:space="preserve">3. La reconnaissance du préjudice écologique</w:t>
      </w:r>
    </w:p>
    <w:p w:rsidR="00000000" w:rsidDel="00000000" w:rsidP="00000000" w:rsidRDefault="00000000" w:rsidRPr="00000000" w14:paraId="00000025">
      <w:pPr>
        <w:spacing w:after="240" w:before="240" w:lineRule="auto"/>
        <w:rPr/>
      </w:pPr>
      <w:r w:rsidDel="00000000" w:rsidR="00000000" w:rsidRPr="00000000">
        <w:rPr>
          <w:rtl w:val="0"/>
        </w:rPr>
        <w:t xml:space="preserve">Inscrit dans le Code civil suite à l'affaire de l'Erika, le préjudice écologique permet de réparer les atteintes aux écosystèmes eux-mêmes, indépendamment des dommages causés aux humains ou à leurs biens.</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xenkwchspjwj" w:id="10"/>
      <w:bookmarkEnd w:id="10"/>
      <w:r w:rsidDel="00000000" w:rsidR="00000000" w:rsidRPr="00000000">
        <w:rPr>
          <w:b w:val="1"/>
          <w:bCs w:val="1"/>
          <w:sz w:val="34"/>
          <w:szCs w:val="34"/>
          <w:rtl w:val="0"/>
        </w:rPr>
        <w:t xml:space="preserve">III. Gouvernance internationale et nouveaux risques</w:t>
      </w:r>
    </w:p>
    <w:p w:rsidR="00000000" w:rsidDel="00000000" w:rsidP="00000000" w:rsidRDefault="00000000" w:rsidRPr="00000000" w14:paraId="00000028">
      <w:pPr>
        <w:spacing w:after="240" w:before="240" w:lineRule="auto"/>
        <w:rPr/>
      </w:pPr>
      <w:r w:rsidDel="00000000" w:rsidR="00000000" w:rsidRPr="00000000">
        <w:rPr>
          <w:rtl w:val="0"/>
        </w:rPr>
        <w:t xml:space="preserve">La gestion de la transition écologique s'inscrit dans un cadre mondial marqué par des tensions entre développement et conservation.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b6av2fi7fdu" w:id="11"/>
      <w:bookmarkEnd w:id="11"/>
      <w:r w:rsidDel="00000000" w:rsidR="00000000" w:rsidRPr="00000000">
        <w:rPr>
          <w:b w:val="1"/>
          <w:bCs w:val="1"/>
          <w:color w:val="000000"/>
          <w:sz w:val="26"/>
          <w:szCs w:val="26"/>
          <w:rtl w:val="0"/>
        </w:rPr>
        <w:t xml:space="preserve">1. Les grandes conférences Onusiennes</w:t>
      </w:r>
    </w:p>
    <w:p w:rsidR="00000000" w:rsidDel="00000000" w:rsidP="00000000" w:rsidRDefault="00000000" w:rsidRPr="00000000" w14:paraId="0000002A">
      <w:pPr>
        <w:spacing w:after="240" w:before="240" w:lineRule="auto"/>
        <w:rPr/>
      </w:pPr>
      <w:r w:rsidDel="00000000" w:rsidR="00000000" w:rsidRPr="00000000">
        <w:rPr>
          <w:rtl w:val="0"/>
        </w:rPr>
        <w:t xml:space="preserve">L'histoire du développement durable est jalonnée de sommets majeurs :</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b w:val="1"/>
          <w:bCs w:val="1"/>
          <w:rtl w:val="0"/>
        </w:rPr>
        <w:t xml:space="preserve">Stockholm (1972) :</w:t>
      </w:r>
      <w:r w:rsidDel="00000000" w:rsidR="00000000" w:rsidRPr="00000000">
        <w:rPr>
          <w:rtl w:val="0"/>
        </w:rPr>
        <w:t xml:space="preserve"> Création du PNUE, début de l'opposition Nord (environnement) / Sud (développement).</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b w:val="1"/>
          <w:bCs w:val="1"/>
          <w:rtl w:val="0"/>
        </w:rPr>
        <w:t xml:space="preserve">Rio (1992) :</w:t>
      </w:r>
      <w:r w:rsidDel="00000000" w:rsidR="00000000" w:rsidRPr="00000000">
        <w:rPr>
          <w:rtl w:val="0"/>
        </w:rPr>
        <w:t xml:space="preserve"> Adoption de l'Agenda 21 et des conventions sur le climat et la biodiversité.</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b w:val="1"/>
          <w:bCs w:val="1"/>
          <w:rtl w:val="0"/>
        </w:rPr>
        <w:t xml:space="preserve">Johannesburg (2002) :</w:t>
      </w:r>
      <w:r w:rsidDel="00000000" w:rsidR="00000000" w:rsidRPr="00000000">
        <w:rPr>
          <w:rtl w:val="0"/>
        </w:rPr>
        <w:t xml:space="preserve"> Montée en puissance des acteurs privés et des engagements volontaires (</w:t>
      </w:r>
      <w:r w:rsidDel="00000000" w:rsidR="00000000" w:rsidRPr="00000000">
        <w:rPr>
          <w:i w:val="1"/>
          <w:iCs w:val="1"/>
          <w:rtl w:val="0"/>
        </w:rPr>
        <w:t xml:space="preserve">Soft Law</w:t>
      </w:r>
      <w:r w:rsidDel="00000000" w:rsidR="00000000" w:rsidRPr="00000000">
        <w:rPr>
          <w:rtl w:val="0"/>
        </w:rPr>
        <w:t xml:space="preserve">).</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b w:val="1"/>
          <w:bCs w:val="1"/>
          <w:rtl w:val="0"/>
        </w:rPr>
        <w:t xml:space="preserve">Rio+20 (2012) :</w:t>
      </w:r>
      <w:r w:rsidDel="00000000" w:rsidR="00000000" w:rsidRPr="00000000">
        <w:rPr>
          <w:rtl w:val="0"/>
        </w:rPr>
        <w:t xml:space="preserve"> Émergence du concept d'économie verte.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jf0utoirk58" w:id="12"/>
      <w:bookmarkEnd w:id="12"/>
      <w:r w:rsidDel="00000000" w:rsidR="00000000" w:rsidRPr="00000000">
        <w:rPr>
          <w:b w:val="1"/>
          <w:bCs w:val="1"/>
          <w:color w:val="000000"/>
          <w:sz w:val="26"/>
          <w:szCs w:val="26"/>
          <w:rtl w:val="0"/>
        </w:rPr>
        <w:t xml:space="preserve">2. Le protocole de Nagoya (2010)</w:t>
      </w:r>
    </w:p>
    <w:p w:rsidR="00000000" w:rsidDel="00000000" w:rsidP="00000000" w:rsidRDefault="00000000" w:rsidRPr="00000000" w14:paraId="00000030">
      <w:pPr>
        <w:spacing w:after="240" w:before="240" w:lineRule="auto"/>
        <w:rPr/>
      </w:pPr>
      <w:r w:rsidDel="00000000" w:rsidR="00000000" w:rsidRPr="00000000">
        <w:rPr>
          <w:rtl w:val="0"/>
        </w:rPr>
        <w:t xml:space="preserve">Ce traité contraignant régule l'accès aux ressources génétiques et le partage juste et équitable des avantages (APA). Il vise à lutter contre la </w:t>
      </w:r>
      <w:r w:rsidDel="00000000" w:rsidR="00000000" w:rsidRPr="00000000">
        <w:rPr>
          <w:b w:val="1"/>
          <w:bCs w:val="1"/>
          <w:rtl w:val="0"/>
        </w:rPr>
        <w:t xml:space="preserve">biopiraterie</w:t>
      </w:r>
      <w:r w:rsidDel="00000000" w:rsidR="00000000" w:rsidRPr="00000000">
        <w:rPr>
          <w:rtl w:val="0"/>
        </w:rPr>
        <w:t xml:space="preserve"> en imposant le consentement préalable des populations autochtones et le partage des retombées commerciales ou scientifiques issues de leurs savoirs traditionnels.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ghicnx8rzlrm" w:id="13"/>
      <w:bookmarkEnd w:id="13"/>
      <w:r w:rsidDel="00000000" w:rsidR="00000000" w:rsidRPr="00000000">
        <w:rPr>
          <w:b w:val="1"/>
          <w:bCs w:val="1"/>
          <w:color w:val="000000"/>
          <w:sz w:val="26"/>
          <w:szCs w:val="26"/>
          <w:rtl w:val="0"/>
        </w:rPr>
        <w:t xml:space="preserve">3. Le crime d'écocide : un cinquième crime contre la paix</w:t>
      </w:r>
    </w:p>
    <w:p w:rsidR="00000000" w:rsidDel="00000000" w:rsidP="00000000" w:rsidRDefault="00000000" w:rsidRPr="00000000" w14:paraId="00000032">
      <w:pPr>
        <w:spacing w:after="240" w:before="240" w:lineRule="auto"/>
        <w:rPr/>
      </w:pPr>
      <w:r w:rsidDel="00000000" w:rsidR="00000000" w:rsidRPr="00000000">
        <w:rPr>
          <w:rtl w:val="0"/>
        </w:rPr>
        <w:t xml:space="preserve">Proposé comme amendement aux statuts de la Cour Pénale Internationale, l'écocide qualifierait les destructions massives et irréversibles d'écosystèmes (ex: assèchement de la mer d'Aral). Ce concept vise à lever l'impunité des chefs d'État et d'entreprise pour des actes, même non intentionnels, portant atteinte au « système support de vie ».</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2nahn4o27xj" w:id="14"/>
      <w:bookmarkEnd w:id="14"/>
      <w:r w:rsidDel="00000000" w:rsidR="00000000" w:rsidRPr="00000000">
        <w:rPr>
          <w:b w:val="1"/>
          <w:bCs w:val="1"/>
          <w:sz w:val="34"/>
          <w:szCs w:val="34"/>
          <w:rtl w:val="0"/>
        </w:rPr>
        <w:t xml:space="preserve">IV. Instruments et acteurs de la régulation</w:t>
      </w:r>
    </w:p>
    <w:p w:rsidR="00000000" w:rsidDel="00000000" w:rsidP="00000000" w:rsidRDefault="00000000" w:rsidRPr="00000000" w14:paraId="00000035">
      <w:pPr>
        <w:spacing w:after="240" w:before="240" w:lineRule="auto"/>
        <w:rPr/>
      </w:pPr>
      <w:r w:rsidDel="00000000" w:rsidR="00000000" w:rsidRPr="00000000">
        <w:rPr>
          <w:rtl w:val="0"/>
        </w:rPr>
        <w:t xml:space="preserve">Le droit mobilise des outils diversifiés pour influencer les comportements économiques et sociaux.</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1op6sf5p2vf7" w:id="15"/>
      <w:bookmarkEnd w:id="15"/>
      <w:r w:rsidDel="00000000" w:rsidR="00000000" w:rsidRPr="00000000">
        <w:rPr>
          <w:b w:val="1"/>
          <w:bCs w:val="1"/>
          <w:color w:val="000000"/>
          <w:sz w:val="26"/>
          <w:szCs w:val="26"/>
          <w:rtl w:val="0"/>
        </w:rPr>
        <w:t xml:space="preserve">1. Outils juridiques et économiques</w:t>
      </w:r>
    </w:p>
    <w:p w:rsidR="00000000" w:rsidDel="00000000" w:rsidP="00000000" w:rsidRDefault="00000000" w:rsidRPr="00000000" w14:paraId="00000037">
      <w:pPr>
        <w:spacing w:after="240" w:before="240" w:lineRule="auto"/>
        <w:rPr/>
      </w:pPr>
      <w:r w:rsidDel="00000000" w:rsidR="00000000" w:rsidRPr="00000000">
        <w:rPr>
          <w:rtl w:val="0"/>
        </w:rPr>
        <w:t xml:space="preserve">L'État arbitre entre intérêts publics et privés via deux approches économiques majeures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Approche</w:t>
            </w:r>
          </w:p>
        </w:tc>
        <w:tc>
          <w:tcPr>
            <w:shd w:fill="auto" w:val="clear"/>
            <w:tcMar>
              <w:top w:w="72.0" w:type="dxa"/>
              <w:left w:w="72.0" w:type="dxa"/>
              <w:bottom w:w="72.0" w:type="dxa"/>
              <w:right w:w="72.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Mécanisme</w:t>
            </w:r>
          </w:p>
        </w:tc>
        <w:tc>
          <w:tcPr>
            <w:shd w:fill="auto" w:val="clear"/>
            <w:tcMar>
              <w:top w:w="72.0" w:type="dxa"/>
              <w:left w:w="72.0" w:type="dxa"/>
              <w:bottom w:w="72.0" w:type="dxa"/>
              <w:right w:w="72.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Objectif</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Pigouvienne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Taxe pollueur-payeur</w:t>
            </w:r>
          </w:p>
        </w:tc>
        <w:tc>
          <w:tcPr>
            <w:shd w:fill="auto" w:val="clear"/>
            <w:tcMar>
              <w:top w:w="72.0" w:type="dxa"/>
              <w:left w:w="72.0" w:type="dxa"/>
              <w:bottom w:w="72.0" w:type="dxa"/>
              <w:right w:w="72.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Modifier les comportements par l'incitation financière ou la sanction.</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Coasienne</w:t>
            </w:r>
            <w:r w:rsidDel="00000000" w:rsidR="00000000" w:rsidRPr="00000000">
              <w:rPr>
                <w:rtl w:val="0"/>
              </w:rPr>
            </w:r>
          </w:p>
        </w:tc>
        <w:tc>
          <w:tcPr>
            <w:shd w:fill="auto" w:val="clear"/>
            <w:tcMar>
              <w:top w:w="72.0" w:type="dxa"/>
              <w:left w:w="72.0" w:type="dxa"/>
              <w:bottom w:w="72.0" w:type="dxa"/>
              <w:right w:w="72.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Marché de quotas (ex: carbone)</w:t>
            </w:r>
          </w:p>
        </w:tc>
        <w:tc>
          <w:tcPr>
            <w:shd w:fill="auto" w:val="clear"/>
            <w:tcMar>
              <w:top w:w="72.0" w:type="dxa"/>
              <w:left w:w="72.0" w:type="dxa"/>
              <w:bottom w:w="72.0" w:type="dxa"/>
              <w:right w:w="72.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Échange de droits de propriété sans intervention directe de l'État.</w:t>
            </w:r>
          </w:p>
        </w:tc>
      </w:tr>
    </w:tbl>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5pgrtfimej9" w:id="16"/>
      <w:bookmarkEnd w:id="16"/>
      <w:r w:rsidDel="00000000" w:rsidR="00000000" w:rsidRPr="00000000">
        <w:rPr>
          <w:b w:val="1"/>
          <w:bCs w:val="1"/>
          <w:color w:val="000000"/>
          <w:sz w:val="26"/>
          <w:szCs w:val="26"/>
          <w:rtl w:val="0"/>
        </w:rPr>
        <w:t xml:space="preserve">2. La procédure participative</w:t>
      </w:r>
    </w:p>
    <w:p w:rsidR="00000000" w:rsidDel="00000000" w:rsidP="00000000" w:rsidRDefault="00000000" w:rsidRPr="00000000" w14:paraId="00000042">
      <w:pPr>
        <w:spacing w:after="240" w:before="240" w:lineRule="auto"/>
        <w:rPr/>
      </w:pPr>
      <w:r w:rsidDel="00000000" w:rsidR="00000000" w:rsidRPr="00000000">
        <w:rPr>
          <w:rtl w:val="0"/>
        </w:rPr>
        <w:t xml:space="preserve">La loi impose désormais la mise en discussion des enjeux environnementaux (lois Bouchardeau, Barnier, Convention d'Aarhus). La participation citoyenne vise à co-construire les territoires et à légitimer les décisions complexes (OGM, déchets nucléaires) via des enquêtes publiques ou des conférences de citoyens.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t8rjldd3bj96" w:id="17"/>
      <w:bookmarkEnd w:id="17"/>
      <w:r w:rsidDel="00000000" w:rsidR="00000000" w:rsidRPr="00000000">
        <w:rPr>
          <w:b w:val="1"/>
          <w:bCs w:val="1"/>
          <w:color w:val="000000"/>
          <w:sz w:val="26"/>
          <w:szCs w:val="26"/>
          <w:rtl w:val="0"/>
        </w:rPr>
        <w:t xml:space="preserve">3. Les ministères concernés en France</w:t>
      </w:r>
    </w:p>
    <w:p w:rsidR="00000000" w:rsidDel="00000000" w:rsidP="00000000" w:rsidRDefault="00000000" w:rsidRPr="00000000" w14:paraId="00000044">
      <w:pPr>
        <w:spacing w:after="240" w:before="240" w:lineRule="auto"/>
        <w:rPr/>
      </w:pPr>
      <w:r w:rsidDel="00000000" w:rsidR="00000000" w:rsidRPr="00000000">
        <w:rPr>
          <w:rtl w:val="0"/>
        </w:rPr>
        <w:t xml:space="preserve">La question animale et environnementale est par essence interministérielle, impliquant :</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b w:val="1"/>
          <w:bCs w:val="1"/>
          <w:rtl w:val="0"/>
        </w:rPr>
        <w:t xml:space="preserve">Transition écologique :</w:t>
      </w:r>
      <w:r w:rsidDel="00000000" w:rsidR="00000000" w:rsidRPr="00000000">
        <w:rPr>
          <w:rtl w:val="0"/>
        </w:rPr>
        <w:t xml:space="preserve"> Animal sauvage, biodiversité, risques climatiques.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b w:val="1"/>
          <w:bCs w:val="1"/>
          <w:rtl w:val="0"/>
        </w:rPr>
        <w:t xml:space="preserve">Agriculture :</w:t>
      </w:r>
      <w:r w:rsidDel="00000000" w:rsidR="00000000" w:rsidRPr="00000000">
        <w:rPr>
          <w:rtl w:val="0"/>
        </w:rPr>
        <w:t xml:space="preserve"> Animaux de production et de compagnie.</w:t>
      </w:r>
    </w:p>
    <w:p w:rsidR="00000000" w:rsidDel="00000000" w:rsidP="00000000" w:rsidRDefault="00000000" w:rsidRPr="00000000" w14:paraId="00000047">
      <w:pPr>
        <w:numPr>
          <w:ilvl w:val="0"/>
          <w:numId w:val="6"/>
        </w:numPr>
        <w:spacing w:after="0" w:afterAutospacing="0" w:before="0" w:beforeAutospacing="0" w:lineRule="auto"/>
        <w:ind w:left="720" w:hanging="360"/>
      </w:pPr>
      <w:r w:rsidDel="00000000" w:rsidR="00000000" w:rsidRPr="00000000">
        <w:rPr>
          <w:b w:val="1"/>
          <w:bCs w:val="1"/>
          <w:rtl w:val="0"/>
        </w:rPr>
        <w:t xml:space="preserve">Justice :</w:t>
      </w:r>
      <w:r w:rsidDel="00000000" w:rsidR="00000000" w:rsidRPr="00000000">
        <w:rPr>
          <w:rtl w:val="0"/>
        </w:rPr>
        <w:t xml:space="preserve"> Sanctions pénales et préjudice écologique.</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bCs w:val="1"/>
          <w:rtl w:val="0"/>
        </w:rPr>
        <w:t xml:space="preserve">Recherche :</w:t>
      </w:r>
      <w:r w:rsidDel="00000000" w:rsidR="00000000" w:rsidRPr="00000000">
        <w:rPr>
          <w:rtl w:val="0"/>
        </w:rPr>
        <w:t xml:space="preserve"> Animal d'expérimentation.</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b w:val="1"/>
          <w:bCs w:val="1"/>
          <w:rtl w:val="0"/>
        </w:rPr>
        <w:t xml:space="preserve">Intérieur :</w:t>
      </w:r>
      <w:r w:rsidDel="00000000" w:rsidR="00000000" w:rsidRPr="00000000">
        <w:rPr>
          <w:rtl w:val="0"/>
        </w:rPr>
        <w:t xml:space="preserve"> Troubles à l'ordre public liés aux manifestations environnementales.</w:t>
      </w:r>
    </w:p>
    <w:p w:rsidR="00000000" w:rsidDel="00000000" w:rsidP="00000000" w:rsidRDefault="00000000" w:rsidRPr="00000000" w14:paraId="0000004A">
      <w:pPr>
        <w:keepNext w:val="0"/>
        <w:keepLines w:val="0"/>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20c2rkht2j7e" w:id="18"/>
      <w:bookmarkEnd w:id="18"/>
      <w:r w:rsidDel="00000000" w:rsidR="00000000" w:rsidRPr="00000000">
        <w:rPr>
          <w:b w:val="1"/>
          <w:bCs w:val="1"/>
          <w:sz w:val="34"/>
          <w:szCs w:val="34"/>
          <w:rtl w:val="0"/>
        </w:rPr>
        <w:t xml:space="preserve">V. Analyse critique : le risque et ses perceptions</w:t>
      </w:r>
    </w:p>
    <w:p w:rsidR="00000000" w:rsidDel="00000000" w:rsidP="00000000" w:rsidRDefault="00000000" w:rsidRPr="00000000" w14:paraId="0000004C">
      <w:pPr>
        <w:spacing w:after="240" w:before="240" w:lineRule="auto"/>
        <w:rPr/>
      </w:pPr>
      <w:r w:rsidDel="00000000" w:rsidR="00000000" w:rsidRPr="00000000">
        <w:rPr>
          <w:rtl w:val="0"/>
        </w:rPr>
        <w:t xml:space="preserve">Le droit doit naviguer entre la rigueur scientifique et la perception humaine du risque.</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b w:val="1"/>
          <w:bCs w:val="1"/>
          <w:rtl w:val="0"/>
        </w:rPr>
        <w:t xml:space="preserve">Subjectivité du risque :</w:t>
      </w:r>
      <w:r w:rsidDel="00000000" w:rsidR="00000000" w:rsidRPr="00000000">
        <w:rPr>
          <w:rtl w:val="0"/>
        </w:rPr>
        <w:t xml:space="preserve"> Le risque « humain » n'est pas réductible à la formule mathématique des cyndiniciens (</w:t>
      </w:r>
      <w:r w:rsidDel="00000000" w:rsidR="00000000" w:rsidRPr="00000000">
        <w:rPr>
          <w:i w:val="1"/>
          <w:iCs w:val="1"/>
          <w:rtl w:val="0"/>
        </w:rPr>
        <w:t xml:space="preserve">Danger x Probabilité</w:t>
      </w:r>
      <w:r w:rsidDel="00000000" w:rsidR="00000000" w:rsidRPr="00000000">
        <w:rPr>
          <w:rtl w:val="0"/>
        </w:rPr>
        <w:t xml:space="preserve">). Un risque imposé et injuste (ex: OGM pour le consommateur sans bénéfice direct) est systématiquement moins accepté qu'un risque volontaire.</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Incertitude vs ignorance :</w:t>
      </w:r>
      <w:r w:rsidDel="00000000" w:rsidR="00000000" w:rsidRPr="00000000">
        <w:rPr>
          <w:rtl w:val="0"/>
        </w:rPr>
        <w:t xml:space="preserve"> Les industriels ont parfois refusé de financer des recherches sur les risques associés aux innovations (ex: OGM de Rhône-Poulenc ou Monsanto dans les années 90), créant un déficit de connaissances que le principe de précaution tente de combler.</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bCs w:val="1"/>
          <w:rtl w:val="0"/>
        </w:rPr>
        <w:t xml:space="preserve">Le rôle de l'expert :</w:t>
      </w:r>
      <w:r w:rsidDel="00000000" w:rsidR="00000000" w:rsidRPr="00000000">
        <w:rPr>
          <w:rtl w:val="0"/>
        </w:rPr>
        <w:t xml:space="preserve"> On observe souvent un cloisonnement scientifique. Les experts capables de fabriquer une innovation (biologie moléculaire) ne sont pas nécessairement compétents pour en évaluer les risques écosystémiques (toxicologie, écologie), ce qui peut biaiser les premières commissions d'autorisation.</w:t>
      </w:r>
    </w:p>
    <w:p w:rsidR="00000000" w:rsidDel="00000000" w:rsidP="00000000" w:rsidRDefault="00000000" w:rsidRPr="00000000" w14:paraId="00000050">
      <w:pPr>
        <w:spacing w:after="240" w:before="240" w:lineRule="auto"/>
        <w:rPr/>
      </w:pPr>
      <w:r w:rsidDel="00000000" w:rsidR="00000000" w:rsidRPr="00000000">
        <w:rPr>
          <w:i w:val="1"/>
          <w:iCs w:val="1"/>
          <w:rtl w:val="0"/>
        </w:rPr>
        <w:t xml:space="preserve">« Le droit n'est pas une fin en soi, mais un moyen au service des pouvoirs publics, des entreprises et de la société civile. »</w:t>
      </w:r>
      <w:r w:rsidDel="00000000" w:rsidR="00000000" w:rsidRPr="00000000">
        <w:rPr>
          <w:rtl w:val="0"/>
        </w:rPr>
        <w:t xml:space="preserve"> — Marthe Lucas, Maître de conférences.</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7wphnvh5qea" w:id="19"/>
      <w:bookmarkEnd w:id="19"/>
      <w:r w:rsidDel="00000000" w:rsidR="00000000" w:rsidRPr="00000000">
        <w:rPr>
          <w:b w:val="1"/>
          <w:bCs w:val="1"/>
          <w:sz w:val="34"/>
          <w:szCs w:val="34"/>
          <w:rtl w:val="0"/>
        </w:rPr>
        <w:t xml:space="preserve">Bibliographie</w:t>
      </w:r>
    </w:p>
    <w:p w:rsidR="00000000" w:rsidDel="00000000" w:rsidP="00000000" w:rsidRDefault="00000000" w:rsidRPr="00000000" w14:paraId="00000053">
      <w:pPr>
        <w:numPr>
          <w:ilvl w:val="0"/>
          <w:numId w:val="2"/>
        </w:numPr>
        <w:ind w:left="720" w:hanging="360"/>
        <w:rPr>
          <w:u w:val="none"/>
        </w:rPr>
      </w:pPr>
      <w:hyperlink r:id="rId6">
        <w:r w:rsidDel="00000000" w:rsidR="00000000" w:rsidRPr="00000000">
          <w:rPr>
            <w:color w:val="1155cc"/>
            <w:u w:val="single"/>
            <w:rtl w:val="0"/>
          </w:rPr>
          <w:t xml:space="preserve">Droit et Transition écologique</w:t>
        </w:r>
      </w:hyperlink>
      <w:r w:rsidDel="00000000" w:rsidR="00000000" w:rsidRPr="00000000">
        <w:rPr>
          <w:rtl w:val="0"/>
        </w:rPr>
      </w:r>
    </w:p>
    <w:p w:rsidR="00000000" w:rsidDel="00000000" w:rsidP="00000000" w:rsidRDefault="00000000" w:rsidRPr="00000000" w14:paraId="00000054">
      <w:pPr>
        <w:pStyle w:val="Heading3"/>
        <w:ind w:left="0" w:firstLine="0"/>
        <w:rPr/>
      </w:pPr>
      <w:bookmarkStart w:colFirst="0" w:colLast="0" w:name="_1pqep1qi7vc7" w:id="20"/>
      <w:bookmarkEnd w:id="20"/>
      <w:r w:rsidDel="00000000" w:rsidR="00000000" w:rsidRPr="00000000">
        <w:rPr>
          <w:rtl w:val="0"/>
        </w:rPr>
        <w:t xml:space="preserve">Droit animal</w:t>
      </w:r>
    </w:p>
    <w:p w:rsidR="00000000" w:rsidDel="00000000" w:rsidP="00000000" w:rsidRDefault="00000000" w:rsidRPr="00000000" w14:paraId="00000055">
      <w:pPr>
        <w:numPr>
          <w:ilvl w:val="0"/>
          <w:numId w:val="9"/>
        </w:numPr>
        <w:ind w:left="720" w:hanging="360"/>
      </w:pPr>
      <w:hyperlink r:id="rId7">
        <w:r w:rsidDel="00000000" w:rsidR="00000000" w:rsidRPr="00000000">
          <w:rPr>
            <w:color w:val="1155cc"/>
            <w:u w:val="single"/>
            <w:rtl w:val="0"/>
          </w:rPr>
          <w:t xml:space="preserve">Introduction au droit animal</w:t>
        </w:r>
      </w:hyperlink>
      <w:r w:rsidDel="00000000" w:rsidR="00000000" w:rsidRPr="00000000">
        <w:rPr>
          <w:rtl w:val="0"/>
        </w:rPr>
      </w:r>
    </w:p>
    <w:p w:rsidR="00000000" w:rsidDel="00000000" w:rsidP="00000000" w:rsidRDefault="00000000" w:rsidRPr="00000000" w14:paraId="00000056">
      <w:pPr>
        <w:numPr>
          <w:ilvl w:val="0"/>
          <w:numId w:val="9"/>
        </w:numPr>
        <w:ind w:left="720" w:hanging="360"/>
      </w:pPr>
      <w:hyperlink r:id="rId8">
        <w:r w:rsidDel="00000000" w:rsidR="00000000" w:rsidRPr="00000000">
          <w:rPr>
            <w:color w:val="1155cc"/>
            <w:u w:val="single"/>
            <w:rtl w:val="0"/>
          </w:rPr>
          <w:t xml:space="preserve">Vivre demain avec les autres animaux : le témoignage d’un député français</w:t>
        </w:r>
      </w:hyperlink>
      <w:r w:rsidDel="00000000" w:rsidR="00000000" w:rsidRPr="00000000">
        <w:rPr>
          <w:rtl w:val="0"/>
        </w:rPr>
      </w:r>
    </w:p>
    <w:p w:rsidR="00000000" w:rsidDel="00000000" w:rsidP="00000000" w:rsidRDefault="00000000" w:rsidRPr="00000000" w14:paraId="00000057">
      <w:pPr>
        <w:pStyle w:val="Heading3"/>
        <w:rPr/>
      </w:pPr>
      <w:bookmarkStart w:colFirst="0" w:colLast="0" w:name="_13i4nxkko72j" w:id="21"/>
      <w:bookmarkEnd w:id="21"/>
      <w:r w:rsidDel="00000000" w:rsidR="00000000" w:rsidRPr="00000000">
        <w:rPr>
          <w:rtl w:val="0"/>
        </w:rPr>
        <w:t xml:space="preserve">Droit international de l’environnement</w:t>
      </w:r>
    </w:p>
    <w:p w:rsidR="00000000" w:rsidDel="00000000" w:rsidP="00000000" w:rsidRDefault="00000000" w:rsidRPr="00000000" w14:paraId="00000058">
      <w:pPr>
        <w:numPr>
          <w:ilvl w:val="0"/>
          <w:numId w:val="9"/>
        </w:numPr>
        <w:ind w:left="720" w:hanging="360"/>
      </w:pPr>
      <w:hyperlink r:id="rId9">
        <w:r w:rsidDel="00000000" w:rsidR="00000000" w:rsidRPr="00000000">
          <w:rPr>
            <w:color w:val="1155cc"/>
            <w:u w:val="single"/>
            <w:rtl w:val="0"/>
          </w:rPr>
          <w:t xml:space="preserve">Le développement durable au sommet : les grandes conférences internationales de Stockholm à Rio+20</w:t>
        </w:r>
      </w:hyperlink>
      <w:r w:rsidDel="00000000" w:rsidR="00000000" w:rsidRPr="00000000">
        <w:rPr>
          <w:rtl w:val="0"/>
        </w:rPr>
      </w:r>
    </w:p>
    <w:p w:rsidR="00000000" w:rsidDel="00000000" w:rsidP="00000000" w:rsidRDefault="00000000" w:rsidRPr="00000000" w14:paraId="00000059">
      <w:pPr>
        <w:numPr>
          <w:ilvl w:val="0"/>
          <w:numId w:val="9"/>
        </w:numPr>
        <w:ind w:left="720" w:hanging="360"/>
      </w:pPr>
      <w:hyperlink r:id="rId10">
        <w:r w:rsidDel="00000000" w:rsidR="00000000" w:rsidRPr="00000000">
          <w:rPr>
            <w:color w:val="1155cc"/>
            <w:u w:val="single"/>
            <w:rtl w:val="0"/>
          </w:rPr>
          <w:t xml:space="preserve">La convention cadre des nations-unies sur le changement climatique</w:t>
        </w:r>
      </w:hyperlink>
      <w:r w:rsidDel="00000000" w:rsidR="00000000" w:rsidRPr="00000000">
        <w:rPr>
          <w:rtl w:val="0"/>
        </w:rPr>
      </w:r>
    </w:p>
    <w:p w:rsidR="00000000" w:rsidDel="00000000" w:rsidP="00000000" w:rsidRDefault="00000000" w:rsidRPr="00000000" w14:paraId="0000005A">
      <w:pPr>
        <w:numPr>
          <w:ilvl w:val="0"/>
          <w:numId w:val="9"/>
        </w:numPr>
        <w:ind w:left="720" w:hanging="360"/>
      </w:pPr>
      <w:hyperlink r:id="rId11">
        <w:r w:rsidDel="00000000" w:rsidR="00000000" w:rsidRPr="00000000">
          <w:rPr>
            <w:color w:val="1155cc"/>
            <w:u w:val="single"/>
            <w:rtl w:val="0"/>
          </w:rPr>
          <w:t xml:space="preserve">L'Accord de Paris sur le climat : de la COP21 à la transformation du monde</w:t>
        </w:r>
      </w:hyperlink>
      <w:r w:rsidDel="00000000" w:rsidR="00000000" w:rsidRPr="00000000">
        <w:rPr>
          <w:rtl w:val="0"/>
        </w:rPr>
      </w:r>
    </w:p>
    <w:p w:rsidR="00000000" w:rsidDel="00000000" w:rsidP="00000000" w:rsidRDefault="00000000" w:rsidRPr="00000000" w14:paraId="0000005B">
      <w:pPr>
        <w:numPr>
          <w:ilvl w:val="0"/>
          <w:numId w:val="9"/>
        </w:numPr>
        <w:ind w:left="720" w:hanging="360"/>
      </w:pPr>
      <w:hyperlink r:id="rId12">
        <w:r w:rsidDel="00000000" w:rsidR="00000000" w:rsidRPr="00000000">
          <w:rPr>
            <w:color w:val="1155cc"/>
            <w:u w:val="single"/>
            <w:rtl w:val="0"/>
          </w:rPr>
          <w:t xml:space="preserve">La convention cadre des nations-unies sur la diversité biologique</w:t>
        </w:r>
      </w:hyperlink>
      <w:r w:rsidDel="00000000" w:rsidR="00000000" w:rsidRPr="00000000">
        <w:rPr>
          <w:rtl w:val="0"/>
        </w:rPr>
      </w:r>
    </w:p>
    <w:p w:rsidR="00000000" w:rsidDel="00000000" w:rsidP="00000000" w:rsidRDefault="00000000" w:rsidRPr="00000000" w14:paraId="0000005C">
      <w:pPr>
        <w:numPr>
          <w:ilvl w:val="0"/>
          <w:numId w:val="9"/>
        </w:numPr>
        <w:ind w:left="720" w:hanging="360"/>
      </w:pPr>
      <w:hyperlink r:id="rId13">
        <w:r w:rsidDel="00000000" w:rsidR="00000000" w:rsidRPr="00000000">
          <w:rPr>
            <w:color w:val="1155cc"/>
            <w:u w:val="single"/>
            <w:rtl w:val="0"/>
          </w:rPr>
          <w:t xml:space="preserve">Les principes éthiques onusiens du développement durable : le protocole de Nagoya</w:t>
        </w:r>
      </w:hyperlink>
      <w:r w:rsidDel="00000000" w:rsidR="00000000" w:rsidRPr="00000000">
        <w:rPr>
          <w:rtl w:val="0"/>
        </w:rPr>
      </w:r>
    </w:p>
    <w:p w:rsidR="00000000" w:rsidDel="00000000" w:rsidP="00000000" w:rsidRDefault="00000000" w:rsidRPr="00000000" w14:paraId="0000005D">
      <w:pPr>
        <w:numPr>
          <w:ilvl w:val="0"/>
          <w:numId w:val="9"/>
        </w:numPr>
        <w:ind w:left="720" w:hanging="360"/>
      </w:pPr>
      <w:hyperlink r:id="rId14">
        <w:r w:rsidDel="00000000" w:rsidR="00000000" w:rsidRPr="00000000">
          <w:rPr>
            <w:color w:val="1155cc"/>
            <w:u w:val="single"/>
            <w:rtl w:val="0"/>
          </w:rPr>
          <w:t xml:space="preserve">Outils juridiques et économiques de gestion de la biodiversité</w:t>
        </w:r>
      </w:hyperlink>
      <w:r w:rsidDel="00000000" w:rsidR="00000000" w:rsidRPr="00000000">
        <w:rPr>
          <w:rtl w:val="0"/>
        </w:rPr>
      </w:r>
    </w:p>
    <w:p w:rsidR="00000000" w:rsidDel="00000000" w:rsidP="00000000" w:rsidRDefault="00000000" w:rsidRPr="00000000" w14:paraId="0000005E">
      <w:pPr>
        <w:numPr>
          <w:ilvl w:val="0"/>
          <w:numId w:val="9"/>
        </w:numPr>
        <w:ind w:left="720" w:hanging="360"/>
      </w:pPr>
      <w:hyperlink r:id="rId15">
        <w:r w:rsidDel="00000000" w:rsidR="00000000" w:rsidRPr="00000000">
          <w:rPr>
            <w:color w:val="1155cc"/>
            <w:u w:val="single"/>
            <w:rtl w:val="0"/>
          </w:rPr>
          <w:t xml:space="preserve">Droit international de la mer et ressources situées en mer : quels enjeux actuels ?</w:t>
        </w:r>
      </w:hyperlink>
      <w:r w:rsidDel="00000000" w:rsidR="00000000" w:rsidRPr="00000000">
        <w:rPr>
          <w:rtl w:val="0"/>
        </w:rPr>
      </w:r>
    </w:p>
    <w:p w:rsidR="00000000" w:rsidDel="00000000" w:rsidP="00000000" w:rsidRDefault="00000000" w:rsidRPr="00000000" w14:paraId="0000005F">
      <w:pPr>
        <w:numPr>
          <w:ilvl w:val="0"/>
          <w:numId w:val="9"/>
        </w:numPr>
        <w:ind w:left="720" w:hanging="360"/>
      </w:pPr>
      <w:hyperlink r:id="rId16">
        <w:r w:rsidDel="00000000" w:rsidR="00000000" w:rsidRPr="00000000">
          <w:rPr>
            <w:color w:val="1155cc"/>
            <w:u w:val="single"/>
            <w:rtl w:val="0"/>
          </w:rPr>
          <w:t xml:space="preserve">Biodiversité et paix</w:t>
        </w:r>
      </w:hyperlink>
      <w:r w:rsidDel="00000000" w:rsidR="00000000" w:rsidRPr="00000000">
        <w:rPr>
          <w:rtl w:val="0"/>
        </w:rPr>
      </w:r>
    </w:p>
    <w:p w:rsidR="00000000" w:rsidDel="00000000" w:rsidP="00000000" w:rsidRDefault="00000000" w:rsidRPr="00000000" w14:paraId="00000060">
      <w:pPr>
        <w:pStyle w:val="Heading3"/>
        <w:rPr/>
      </w:pPr>
      <w:bookmarkStart w:colFirst="0" w:colLast="0" w:name="_9z5xshkxe2pg" w:id="22"/>
      <w:bookmarkEnd w:id="22"/>
      <w:r w:rsidDel="00000000" w:rsidR="00000000" w:rsidRPr="00000000">
        <w:rPr>
          <w:rtl w:val="0"/>
        </w:rPr>
        <w:t xml:space="preserve">Droit français de l’environnement</w:t>
      </w:r>
    </w:p>
    <w:p w:rsidR="00000000" w:rsidDel="00000000" w:rsidP="00000000" w:rsidRDefault="00000000" w:rsidRPr="00000000" w14:paraId="00000061">
      <w:pPr>
        <w:numPr>
          <w:ilvl w:val="0"/>
          <w:numId w:val="9"/>
        </w:numPr>
        <w:ind w:left="720" w:hanging="360"/>
      </w:pPr>
      <w:hyperlink r:id="rId17">
        <w:r w:rsidDel="00000000" w:rsidR="00000000" w:rsidRPr="00000000">
          <w:rPr>
            <w:color w:val="1155cc"/>
            <w:u w:val="single"/>
            <w:rtl w:val="0"/>
          </w:rPr>
          <w:t xml:space="preserve">La compensation écologique</w:t>
        </w:r>
      </w:hyperlink>
      <w:r w:rsidDel="00000000" w:rsidR="00000000" w:rsidRPr="00000000">
        <w:rPr>
          <w:rtl w:val="0"/>
        </w:rPr>
      </w:r>
    </w:p>
    <w:p w:rsidR="00000000" w:rsidDel="00000000" w:rsidP="00000000" w:rsidRDefault="00000000" w:rsidRPr="00000000" w14:paraId="00000062">
      <w:pPr>
        <w:numPr>
          <w:ilvl w:val="0"/>
          <w:numId w:val="9"/>
        </w:numPr>
        <w:ind w:left="720" w:hanging="360"/>
      </w:pPr>
      <w:hyperlink r:id="rId18">
        <w:r w:rsidDel="00000000" w:rsidR="00000000" w:rsidRPr="00000000">
          <w:rPr>
            <w:color w:val="1155cc"/>
            <w:u w:val="single"/>
            <w:rtl w:val="0"/>
          </w:rPr>
          <w:t xml:space="preserve">Le droit et l’ingénierie écologique : une approche par le prisme de la restauration écologique</w:t>
        </w:r>
      </w:hyperlink>
      <w:r w:rsidDel="00000000" w:rsidR="00000000" w:rsidRPr="00000000">
        <w:rPr>
          <w:rtl w:val="0"/>
        </w:rPr>
      </w:r>
    </w:p>
    <w:p w:rsidR="00000000" w:rsidDel="00000000" w:rsidP="00000000" w:rsidRDefault="00000000" w:rsidRPr="00000000" w14:paraId="00000063">
      <w:pPr>
        <w:numPr>
          <w:ilvl w:val="0"/>
          <w:numId w:val="9"/>
        </w:numPr>
        <w:ind w:left="720" w:hanging="360"/>
      </w:pPr>
      <w:hyperlink r:id="rId19">
        <w:r w:rsidDel="00000000" w:rsidR="00000000" w:rsidRPr="00000000">
          <w:rPr>
            <w:color w:val="1155cc"/>
            <w:u w:val="single"/>
            <w:rtl w:val="0"/>
          </w:rPr>
          <w:t xml:space="preserve">Obsolescence programmée : théorie, enjeux et cas pratiques</w:t>
        </w:r>
      </w:hyperlink>
      <w:r w:rsidDel="00000000" w:rsidR="00000000" w:rsidRPr="00000000">
        <w:rPr>
          <w:rtl w:val="0"/>
        </w:rPr>
      </w:r>
    </w:p>
    <w:p w:rsidR="00000000" w:rsidDel="00000000" w:rsidP="00000000" w:rsidRDefault="00000000" w:rsidRPr="00000000" w14:paraId="00000064">
      <w:pPr>
        <w:numPr>
          <w:ilvl w:val="0"/>
          <w:numId w:val="9"/>
        </w:numPr>
        <w:ind w:left="720" w:hanging="360"/>
      </w:pPr>
      <w:hyperlink r:id="rId20">
        <w:r w:rsidDel="00000000" w:rsidR="00000000" w:rsidRPr="00000000">
          <w:rPr>
            <w:color w:val="1155cc"/>
            <w:u w:val="single"/>
            <w:rtl w:val="0"/>
          </w:rPr>
          <w:t xml:space="preserve">Le principe de précaution et l’exemple des OGM</w:t>
        </w:r>
      </w:hyperlink>
      <w:r w:rsidDel="00000000" w:rsidR="00000000" w:rsidRPr="00000000">
        <w:rPr>
          <w:rtl w:val="0"/>
        </w:rPr>
      </w:r>
    </w:p>
    <w:p w:rsidR="00000000" w:rsidDel="00000000" w:rsidP="00000000" w:rsidRDefault="00000000" w:rsidRPr="00000000" w14:paraId="00000065">
      <w:pPr>
        <w:numPr>
          <w:ilvl w:val="0"/>
          <w:numId w:val="9"/>
        </w:numPr>
        <w:ind w:left="720" w:hanging="360"/>
      </w:pPr>
      <w:hyperlink r:id="rId21">
        <w:r w:rsidDel="00000000" w:rsidR="00000000" w:rsidRPr="00000000">
          <w:rPr>
            <w:color w:val="1155cc"/>
            <w:u w:val="single"/>
            <w:rtl w:val="0"/>
          </w:rPr>
          <w:t xml:space="preserve">Devoir de vigilance et chaîne de valeur étendue pour un management responsable</w:t>
        </w:r>
      </w:hyperlink>
      <w:r w:rsidDel="00000000" w:rsidR="00000000" w:rsidRPr="00000000">
        <w:rPr>
          <w:rtl w:val="0"/>
        </w:rPr>
      </w:r>
    </w:p>
    <w:p w:rsidR="00000000" w:rsidDel="00000000" w:rsidP="00000000" w:rsidRDefault="00000000" w:rsidRPr="00000000" w14:paraId="00000066">
      <w:pPr>
        <w:numPr>
          <w:ilvl w:val="0"/>
          <w:numId w:val="9"/>
        </w:numPr>
        <w:ind w:left="720" w:hanging="360"/>
      </w:pPr>
      <w:hyperlink r:id="rId22">
        <w:r w:rsidDel="00000000" w:rsidR="00000000" w:rsidRPr="00000000">
          <w:rPr>
            <w:color w:val="1155cc"/>
            <w:u w:val="single"/>
            <w:rtl w:val="0"/>
          </w:rPr>
          <w:t xml:space="preserve">Les grandes familles d’espaces naturels français</w:t>
        </w:r>
      </w:hyperlink>
      <w:r w:rsidDel="00000000" w:rsidR="00000000" w:rsidRPr="00000000">
        <w:rPr>
          <w:rtl w:val="0"/>
        </w:rPr>
      </w:r>
    </w:p>
    <w:p w:rsidR="00000000" w:rsidDel="00000000" w:rsidP="00000000" w:rsidRDefault="00000000" w:rsidRPr="00000000" w14:paraId="00000067">
      <w:pPr>
        <w:pStyle w:val="Heading3"/>
        <w:rPr/>
      </w:pPr>
      <w:bookmarkStart w:colFirst="0" w:colLast="0" w:name="_f59sa85oqhup" w:id="23"/>
      <w:bookmarkEnd w:id="23"/>
      <w:r w:rsidDel="00000000" w:rsidR="00000000" w:rsidRPr="00000000">
        <w:rPr>
          <w:rtl w:val="0"/>
        </w:rPr>
        <w:t xml:space="preserve">Débat public &amp; procédures participatives</w:t>
      </w:r>
    </w:p>
    <w:p w:rsidR="00000000" w:rsidDel="00000000" w:rsidP="00000000" w:rsidRDefault="00000000" w:rsidRPr="00000000" w14:paraId="00000068">
      <w:pPr>
        <w:numPr>
          <w:ilvl w:val="0"/>
          <w:numId w:val="9"/>
        </w:numPr>
        <w:ind w:left="720" w:hanging="360"/>
      </w:pPr>
      <w:hyperlink r:id="rId23">
        <w:r w:rsidDel="00000000" w:rsidR="00000000" w:rsidRPr="00000000">
          <w:rPr>
            <w:color w:val="1155cc"/>
            <w:u w:val="single"/>
            <w:rtl w:val="0"/>
          </w:rPr>
          <w:t xml:space="preserve">La mise en discussion des enjeux de la biodiversité</w:t>
        </w:r>
      </w:hyperlink>
      <w:r w:rsidDel="00000000" w:rsidR="00000000" w:rsidRPr="00000000">
        <w:rPr>
          <w:rtl w:val="0"/>
        </w:rPr>
      </w:r>
    </w:p>
    <w:p w:rsidR="00000000" w:rsidDel="00000000" w:rsidP="00000000" w:rsidRDefault="00000000" w:rsidRPr="00000000" w14:paraId="00000069">
      <w:pPr>
        <w:pStyle w:val="Heading3"/>
        <w:rPr/>
      </w:pPr>
      <w:bookmarkStart w:colFirst="0" w:colLast="0" w:name="_x7ejqkrlv7is" w:id="24"/>
      <w:bookmarkEnd w:id="24"/>
      <w:r w:rsidDel="00000000" w:rsidR="00000000" w:rsidRPr="00000000">
        <w:rPr>
          <w:rtl w:val="0"/>
        </w:rPr>
        <w:t xml:space="preserve">Ressources complémentaires (via WeLearn)</w:t>
      </w:r>
    </w:p>
    <w:p w:rsidR="00000000" w:rsidDel="00000000" w:rsidP="00000000" w:rsidRDefault="00000000" w:rsidRPr="00000000" w14:paraId="0000006A">
      <w:pPr>
        <w:numPr>
          <w:ilvl w:val="0"/>
          <w:numId w:val="7"/>
        </w:numPr>
        <w:ind w:left="720" w:hanging="360"/>
        <w:rPr>
          <w:u w:val="none"/>
        </w:rPr>
      </w:pPr>
      <w:hyperlink r:id="rId24">
        <w:r w:rsidDel="00000000" w:rsidR="00000000" w:rsidRPr="00000000">
          <w:rPr>
            <w:color w:val="1155cc"/>
            <w:u w:val="single"/>
            <w:rtl w:val="0"/>
          </w:rPr>
          <w:t xml:space="preserve">Droit de l'environnement</w:t>
        </w:r>
      </w:hyperlink>
      <w:r w:rsidDel="00000000" w:rsidR="00000000" w:rsidRPr="00000000">
        <w:rPr>
          <w:rtl w:val="0"/>
        </w:rPr>
      </w:r>
    </w:p>
    <w:p w:rsidR="00000000" w:rsidDel="00000000" w:rsidP="00000000" w:rsidRDefault="00000000" w:rsidRPr="00000000" w14:paraId="0000006B">
      <w:pPr>
        <w:numPr>
          <w:ilvl w:val="0"/>
          <w:numId w:val="7"/>
        </w:numPr>
        <w:ind w:left="720" w:hanging="360"/>
        <w:rPr>
          <w:u w:val="none"/>
        </w:rPr>
      </w:pPr>
      <w:hyperlink r:id="rId25">
        <w:r w:rsidDel="00000000" w:rsidR="00000000" w:rsidRPr="00000000">
          <w:rPr>
            <w:color w:val="1155cc"/>
            <w:u w:val="single"/>
            <w:rtl w:val="0"/>
          </w:rPr>
          <w:t xml:space="preserve">Charte mondiale de la nature</w:t>
        </w:r>
      </w:hyperlink>
      <w:r w:rsidDel="00000000" w:rsidR="00000000" w:rsidRPr="00000000">
        <w:rPr>
          <w:rtl w:val="0"/>
        </w:rPr>
      </w:r>
    </w:p>
    <w:p w:rsidR="00000000" w:rsidDel="00000000" w:rsidP="00000000" w:rsidRDefault="00000000" w:rsidRPr="00000000" w14:paraId="0000006C">
      <w:pPr>
        <w:numPr>
          <w:ilvl w:val="0"/>
          <w:numId w:val="7"/>
        </w:numPr>
        <w:ind w:left="720" w:hanging="360"/>
        <w:rPr>
          <w:u w:val="none"/>
        </w:rPr>
      </w:pPr>
      <w:hyperlink r:id="rId26">
        <w:r w:rsidDel="00000000" w:rsidR="00000000" w:rsidRPr="00000000">
          <w:rPr>
            <w:color w:val="1155cc"/>
            <w:u w:val="single"/>
            <w:rtl w:val="0"/>
          </w:rPr>
          <w:t xml:space="preserve">État de droit environnemental</w:t>
        </w:r>
      </w:hyperlink>
      <w:r w:rsidDel="00000000" w:rsidR="00000000" w:rsidRPr="00000000">
        <w:rPr>
          <w:rtl w:val="0"/>
        </w:rPr>
      </w:r>
    </w:p>
    <w:p w:rsidR="00000000" w:rsidDel="00000000" w:rsidP="00000000" w:rsidRDefault="00000000" w:rsidRPr="00000000" w14:paraId="0000006D">
      <w:pPr>
        <w:numPr>
          <w:ilvl w:val="0"/>
          <w:numId w:val="7"/>
        </w:numPr>
        <w:ind w:left="720" w:hanging="360"/>
        <w:rPr>
          <w:u w:val="none"/>
        </w:rPr>
      </w:pPr>
      <w:hyperlink r:id="rId27">
        <w:r w:rsidDel="00000000" w:rsidR="00000000" w:rsidRPr="00000000">
          <w:rPr>
            <w:color w:val="1155cc"/>
            <w:u w:val="single"/>
            <w:rtl w:val="0"/>
          </w:rPr>
          <w:t xml:space="preserve">Environmental and Climate Crises as a Factor in the Development of Modern Constitutionalism and Environmental Security</w:t>
        </w:r>
      </w:hyperlink>
      <w:r w:rsidDel="00000000" w:rsidR="00000000" w:rsidRPr="00000000">
        <w:rPr>
          <w:rtl w:val="0"/>
        </w:rPr>
      </w:r>
    </w:p>
    <w:p w:rsidR="00000000" w:rsidDel="00000000" w:rsidP="00000000" w:rsidRDefault="00000000" w:rsidRPr="00000000" w14:paraId="0000006E">
      <w:pPr>
        <w:numPr>
          <w:ilvl w:val="0"/>
          <w:numId w:val="7"/>
        </w:numPr>
        <w:ind w:left="720" w:hanging="360"/>
        <w:rPr>
          <w:u w:val="none"/>
        </w:rPr>
      </w:pPr>
      <w:hyperlink r:id="rId28">
        <w:r w:rsidDel="00000000" w:rsidR="00000000" w:rsidRPr="00000000">
          <w:rPr>
            <w:color w:val="1155cc"/>
            <w:u w:val="single"/>
            <w:rtl w:val="0"/>
          </w:rPr>
          <w:t xml:space="preserve">Crime environnemental</w:t>
        </w:r>
      </w:hyperlink>
      <w:r w:rsidDel="00000000" w:rsidR="00000000" w:rsidRPr="00000000">
        <w:rPr>
          <w:rtl w:val="0"/>
        </w:rPr>
      </w:r>
    </w:p>
    <w:p w:rsidR="00000000" w:rsidDel="00000000" w:rsidP="00000000" w:rsidRDefault="00000000" w:rsidRPr="00000000" w14:paraId="0000006F">
      <w:pPr>
        <w:numPr>
          <w:ilvl w:val="0"/>
          <w:numId w:val="7"/>
        </w:numPr>
        <w:ind w:left="720" w:hanging="360"/>
        <w:rPr>
          <w:u w:val="none"/>
        </w:rPr>
      </w:pPr>
      <w:hyperlink r:id="rId29">
        <w:r w:rsidDel="00000000" w:rsidR="00000000" w:rsidRPr="00000000">
          <w:rPr>
            <w:color w:val="1155cc"/>
            <w:u w:val="single"/>
            <w:rtl w:val="0"/>
          </w:rPr>
          <w:t xml:space="preserve">The IPBES assessment report on land degradation and restoration.</w:t>
        </w:r>
      </w:hyperlink>
      <w:r w:rsidDel="00000000" w:rsidR="00000000" w:rsidRPr="00000000">
        <w:rPr>
          <w:rtl w:val="0"/>
        </w:rPr>
      </w:r>
    </w:p>
    <w:p w:rsidR="00000000" w:rsidDel="00000000" w:rsidP="00000000" w:rsidRDefault="00000000" w:rsidRPr="00000000" w14:paraId="00000070">
      <w:pPr>
        <w:numPr>
          <w:ilvl w:val="0"/>
          <w:numId w:val="7"/>
        </w:numPr>
        <w:ind w:left="720" w:hanging="360"/>
        <w:rPr>
          <w:u w:val="none"/>
        </w:rPr>
      </w:pPr>
      <w:hyperlink r:id="rId30">
        <w:r w:rsidDel="00000000" w:rsidR="00000000" w:rsidRPr="00000000">
          <w:rPr>
            <w:color w:val="1155cc"/>
            <w:u w:val="single"/>
            <w:rtl w:val="0"/>
          </w:rPr>
          <w:t xml:space="preserve">Poluição atmosférica veicular e o direito tributário ambiental no Brasil: proposta de reestruturação tributária para o desenvolvimento sustentável</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pn.univ-lorraine.fr/UVED/TROIS_QUESTIONS_CLEFS_EN_PHILOSOPHIES_DES_SCIENCES/co/module_philo_3questions_cles_1.html" TargetMode="External"/><Relationship Id="rId22" Type="http://schemas.openxmlformats.org/officeDocument/2006/relationships/hyperlink" Target="https://www.supagro.fr/ress-tice/aten_uved/module_theorique/co/orientation_familles.html" TargetMode="External"/><Relationship Id="rId21" Type="http://schemas.openxmlformats.org/officeDocument/2006/relationships/hyperlink" Target="https://www.uved.fr/fiche/ressource/devoir-de-vigilance-et-chaine-de-valeur-etendue-pour-un-management-responsable" TargetMode="External"/><Relationship Id="rId24" Type="http://schemas.openxmlformats.org/officeDocument/2006/relationships/hyperlink" Target="https://fr.wikipedia.org/wiki/Droit_de_l'environnement" TargetMode="External"/><Relationship Id="rId23" Type="http://schemas.openxmlformats.org/officeDocument/2006/relationships/hyperlink" Target="https://www.uved.fr/fiche/ressource/la-mise-en-discussion-des-enjeux-de-la-biodiversi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ved.fr/fiche/ressource/le-developpement-durable-au-sommet-les-grandes-conferences-internationales-de-stockholm-a-rio-20" TargetMode="External"/><Relationship Id="rId26" Type="http://schemas.openxmlformats.org/officeDocument/2006/relationships/hyperlink" Target="https://fr.wikipedia.org/wiki/%C3%89tat_de_droit_environnemental" TargetMode="External"/><Relationship Id="rId25" Type="http://schemas.openxmlformats.org/officeDocument/2006/relationships/hyperlink" Target="https://fr.wikipedia.org/wiki/Charte_mondiale_de_la_nature" TargetMode="External"/><Relationship Id="rId28" Type="http://schemas.openxmlformats.org/officeDocument/2006/relationships/hyperlink" Target="https://fr.wikipedia.org/wiki/Crime_environnemental" TargetMode="External"/><Relationship Id="rId27" Type="http://schemas.openxmlformats.org/officeDocument/2006/relationships/hyperlink" Target="https://openalex.org/W4313416013" TargetMode="External"/><Relationship Id="rId5" Type="http://schemas.openxmlformats.org/officeDocument/2006/relationships/styles" Target="styles.xml"/><Relationship Id="rId6" Type="http://schemas.openxmlformats.org/officeDocument/2006/relationships/hyperlink" Target="https://www.uved.fr/fileadmin/user_upload/Documents/pdf/Fiches/Fiche_Droit_et_TEDS.pdf" TargetMode="External"/><Relationship Id="rId29" Type="http://schemas.openxmlformats.org/officeDocument/2006/relationships/hyperlink" Target="https://www.ipbes.net/document-library-catalogue/assessment-report-land-degradation-and-restoration-full-report-including" TargetMode="External"/><Relationship Id="rId7" Type="http://schemas.openxmlformats.org/officeDocument/2006/relationships/hyperlink" Target="https://www.uved.fr/fiche/ressource/introduction-au-droit-animal" TargetMode="External"/><Relationship Id="rId8" Type="http://schemas.openxmlformats.org/officeDocument/2006/relationships/hyperlink" Target="https://www.uved.fr/fiche/ressource/vivre-demain-avec-les-autres-animaux-le-temoignage-dun-depute-francais" TargetMode="External"/><Relationship Id="rId30" Type="http://schemas.openxmlformats.org/officeDocument/2006/relationships/hyperlink" Target="https://openalex.org/W2583820960" TargetMode="External"/><Relationship Id="rId11" Type="http://schemas.openxmlformats.org/officeDocument/2006/relationships/hyperlink" Target="https://www.uved.fr/fiche/ressource/laccord-de-paris-sur-le-climat-de-la-cop21-a-la-transformation-du-monde" TargetMode="External"/><Relationship Id="rId10" Type="http://schemas.openxmlformats.org/officeDocument/2006/relationships/hyperlink" Target="https://ressources.uved.fr/Grains_Module4/Convention_cadre/site/html/Convention_cadre/Convention_cadre.html" TargetMode="External"/><Relationship Id="rId13" Type="http://schemas.openxmlformats.org/officeDocument/2006/relationships/hyperlink" Target="https://www.uved.fr/fiche/ressource/le-protocole-de-nagoya" TargetMode="External"/><Relationship Id="rId12" Type="http://schemas.openxmlformats.org/officeDocument/2006/relationships/hyperlink" Target="https://ressources.uved.fr/Grains_Module4/Convention_diversite/site/html/Convention_diversite/Convention_diversite.html" TargetMode="External"/><Relationship Id="rId15" Type="http://schemas.openxmlformats.org/officeDocument/2006/relationships/hyperlink" Target="https://www.uved.fr/fiche/ressource/droit-international-de-la-mer-et-ressources-situees-en-mer-quels-enjeux-actuels" TargetMode="External"/><Relationship Id="rId14" Type="http://schemas.openxmlformats.org/officeDocument/2006/relationships/hyperlink" Target="https://www.uved.fr/fiche/ressource/outils-juridiques-et-economiques-de-gestion-de-la-biodiversite" TargetMode="External"/><Relationship Id="rId17" Type="http://schemas.openxmlformats.org/officeDocument/2006/relationships/hyperlink" Target="https://www.uved.fr/fiche/ressource/la-compensation-ecologique" TargetMode="External"/><Relationship Id="rId16" Type="http://schemas.openxmlformats.org/officeDocument/2006/relationships/hyperlink" Target="https://www.uved.fr/fiche/ressource/biodiversite-et-paix" TargetMode="External"/><Relationship Id="rId19" Type="http://schemas.openxmlformats.org/officeDocument/2006/relationships/hyperlink" Target="https://www.uved.fr/fiche/ressource/obsolescence-programmee-theorie-enjeux-et-cas-pratiques" TargetMode="External"/><Relationship Id="rId18" Type="http://schemas.openxmlformats.org/officeDocument/2006/relationships/hyperlink" Target="https://www.uved.fr/fiche/ressource/le-droit-et-lingenierie-ecologique-une-approche-par-le-prisme-de-la-restauration-ecologiq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