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gblncx5bchd" w:id="0"/>
      <w:bookmarkEnd w:id="0"/>
      <w:r w:rsidDel="00000000" w:rsidR="00000000" w:rsidRPr="00000000">
        <w:rPr>
          <w:b w:val="1"/>
          <w:bCs w:val="1"/>
          <w:sz w:val="46"/>
          <w:szCs w:val="46"/>
          <w:rtl w:val="0"/>
        </w:rPr>
        <w:t xml:space="preserve">Mathématiques et transition écologique : enjeux, modélisation et perspectives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analyse le rôle crucial des mathématiques dans la compréhension et la mise en œuvre de la transition écologique. Il explore comment les outils mathématiques permettent de modéliser les défis environnementaux, d'évaluer les limites des solutions techniques comme le recyclage, et de décomposer les facteurs influençant les émissions de gaz à effet de serre à travers des modèles tels que l'équation de Kaya.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j4480gww67a" w:id="1"/>
      <w:bookmarkEnd w:id="1"/>
      <w:r w:rsidDel="00000000" w:rsidR="00000000" w:rsidRPr="00000000">
        <w:rPr>
          <w:b w:val="1"/>
          <w:bCs w:val="1"/>
          <w:sz w:val="34"/>
          <w:szCs w:val="34"/>
          <w:rtl w:val="0"/>
        </w:rPr>
        <w:t xml:space="preserve">Résumé synthétique</w:t>
      </w:r>
    </w:p>
    <w:p w:rsidR="00000000" w:rsidDel="00000000" w:rsidP="00000000" w:rsidRDefault="00000000" w:rsidRPr="00000000" w14:paraId="00000004">
      <w:pPr>
        <w:spacing w:after="240" w:before="240" w:lineRule="auto"/>
        <w:rPr/>
      </w:pPr>
      <w:r w:rsidDel="00000000" w:rsidR="00000000" w:rsidRPr="00000000">
        <w:rPr>
          <w:rtl w:val="0"/>
        </w:rPr>
        <w:t xml:space="preserve">Les mathématiques constituent un pilier indispensable de la transition écologique, fournissant les outils nécessaires pour mesurer, représenter et prédire les évolutions des écosystèmes et des sociétés humaines. Cette discipline intervient de manière transversale : de la simulation climatique à l'optimisation des réseaux énergétiques, en passant par l'analyse de la fiabilité des données environnementales.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Points clés à retenir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Interdépendance disciplinaire :</w:t>
      </w:r>
      <w:r w:rsidDel="00000000" w:rsidR="00000000" w:rsidRPr="00000000">
        <w:rPr>
          <w:rtl w:val="0"/>
        </w:rPr>
        <w:t xml:space="preserve"> La transition écologique élargit les champs d'application des mathématiques (épidémiologie, mathématiques du vivant, réseaux énergétiques) et impose une approche interdisciplinaire.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Limites du recyclage :</w:t>
      </w:r>
      <w:r w:rsidDel="00000000" w:rsidR="00000000" w:rsidRPr="00000000">
        <w:rPr>
          <w:rtl w:val="0"/>
        </w:rPr>
        <w:t xml:space="preserve"> Le recyclage ne peut être efficace que si trois conditions mathématiques sont réunies, la plus critique étant le maintien d'un taux de croissance de la consommation de matières inférieur à 1 % par an.</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Équation de Kaya :</w:t>
      </w:r>
      <w:r w:rsidDel="00000000" w:rsidR="00000000" w:rsidRPr="00000000">
        <w:rPr>
          <w:rtl w:val="0"/>
        </w:rPr>
        <w:t xml:space="preserve"> Pour diviser par trois les émissions de CO₂ d'ici 2050, il est mathématiquement nécessaire de diviser l'intensité carbonique de l'énergie et l'intensité énergétique du PIB par un facteur global d'environ 10, compte tenu de la croissance démographique et économique prévue.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rak4jw0e0ow" w:id="2"/>
      <w:bookmarkEnd w:id="2"/>
      <w:r w:rsidDel="00000000" w:rsidR="00000000" w:rsidRPr="00000000">
        <w:rPr>
          <w:b w:val="1"/>
          <w:bCs w:val="1"/>
          <w:sz w:val="34"/>
          <w:szCs w:val="34"/>
          <w:rtl w:val="0"/>
        </w:rPr>
        <w:t xml:space="preserve">I. Les mathématiques au service de la transition écologique</w:t>
      </w:r>
    </w:p>
    <w:p w:rsidR="00000000" w:rsidDel="00000000" w:rsidP="00000000" w:rsidRDefault="00000000" w:rsidRPr="00000000" w14:paraId="0000000B">
      <w:pPr>
        <w:spacing w:after="240" w:before="240" w:lineRule="auto"/>
        <w:rPr/>
      </w:pPr>
      <w:r w:rsidDel="00000000" w:rsidR="00000000" w:rsidRPr="00000000">
        <w:rPr>
          <w:rtl w:val="0"/>
        </w:rPr>
        <w:t xml:space="preserve">La transition écologique repose sur une compréhension fine de systèmes complexes, qu'ils soient naturels ou anthropiques. Les mathématiques apportent des contributions structurantes dans quatre domaines principaux :</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tyhey8x3usb" w:id="3"/>
      <w:bookmarkEnd w:id="3"/>
      <w:r w:rsidDel="00000000" w:rsidR="00000000" w:rsidRPr="00000000">
        <w:rPr>
          <w:b w:val="1"/>
          <w:bCs w:val="1"/>
          <w:color w:val="000000"/>
          <w:sz w:val="26"/>
          <w:szCs w:val="26"/>
          <w:rtl w:val="0"/>
        </w:rPr>
        <w:t xml:space="preserve">1. Mesure et représentation</w:t>
      </w:r>
    </w:p>
    <w:p w:rsidR="00000000" w:rsidDel="00000000" w:rsidP="00000000" w:rsidRDefault="00000000" w:rsidRPr="00000000" w14:paraId="0000000D">
      <w:pPr>
        <w:spacing w:after="240" w:before="240" w:lineRule="auto"/>
        <w:rPr/>
      </w:pPr>
      <w:r w:rsidDel="00000000" w:rsidR="00000000" w:rsidRPr="00000000">
        <w:rPr>
          <w:rtl w:val="0"/>
        </w:rPr>
        <w:t xml:space="preserve">Le premier apport réside dans la capacité à analyser et visualiser des données biologiques, climatiques et sociales. Cela inclut :</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L'établissement de cartographies (niches écologiques).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La représentation des liens entre variables (flux, propriétés sociales, analyses de proximité).</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pmydno0mu9e" w:id="4"/>
      <w:bookmarkEnd w:id="4"/>
      <w:r w:rsidDel="00000000" w:rsidR="00000000" w:rsidRPr="00000000">
        <w:rPr>
          <w:b w:val="1"/>
          <w:bCs w:val="1"/>
          <w:color w:val="000000"/>
          <w:sz w:val="26"/>
          <w:szCs w:val="26"/>
          <w:rtl w:val="0"/>
        </w:rPr>
        <w:t xml:space="preserve">2. Modélisation et simulation</w:t>
      </w:r>
    </w:p>
    <w:p w:rsidR="00000000" w:rsidDel="00000000" w:rsidP="00000000" w:rsidRDefault="00000000" w:rsidRPr="00000000" w14:paraId="00000011">
      <w:pPr>
        <w:spacing w:after="240" w:before="240" w:lineRule="auto"/>
        <w:rPr/>
      </w:pPr>
      <w:r w:rsidDel="00000000" w:rsidR="00000000" w:rsidRPr="00000000">
        <w:rPr>
          <w:rtl w:val="0"/>
        </w:rPr>
        <w:t xml:space="preserve">Les outils mathématiques permettent de simuler l'évolution du climat sur diverses temporalités et de modéliser des socio-écosystèmes tels que les villes ou les agrosystèmes afin d'anticiper leurs trajectoires futures.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n9fy0fpvkdg" w:id="5"/>
      <w:bookmarkEnd w:id="5"/>
      <w:r w:rsidDel="00000000" w:rsidR="00000000" w:rsidRPr="00000000">
        <w:rPr>
          <w:b w:val="1"/>
          <w:bCs w:val="1"/>
          <w:color w:val="000000"/>
          <w:sz w:val="26"/>
          <w:szCs w:val="26"/>
          <w:rtl w:val="0"/>
        </w:rPr>
        <w:t xml:space="preserve">3. Optimisation des systèmes</w:t>
      </w:r>
    </w:p>
    <w:p w:rsidR="00000000" w:rsidDel="00000000" w:rsidP="00000000" w:rsidRDefault="00000000" w:rsidRPr="00000000" w14:paraId="00000013">
      <w:pPr>
        <w:spacing w:after="240" w:before="240" w:lineRule="auto"/>
        <w:rPr/>
      </w:pPr>
      <w:r w:rsidDel="00000000" w:rsidR="00000000" w:rsidRPr="00000000">
        <w:rPr>
          <w:rtl w:val="0"/>
        </w:rPr>
        <w:t xml:space="preserve">L'efficacité écologique passe par le calcul et l'algorithmique :</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Réseaux énergétiques :</w:t>
      </w:r>
      <w:r w:rsidDel="00000000" w:rsidR="00000000" w:rsidRPr="00000000">
        <w:rPr>
          <w:rtl w:val="0"/>
        </w:rPr>
        <w:t xml:space="preserve"> Programmation des </w:t>
      </w:r>
      <w:r w:rsidDel="00000000" w:rsidR="00000000" w:rsidRPr="00000000">
        <w:rPr>
          <w:i w:val="1"/>
          <w:iCs w:val="1"/>
          <w:rtl w:val="0"/>
        </w:rPr>
        <w:t xml:space="preserve">smart grids</w:t>
      </w:r>
      <w:r w:rsidDel="00000000" w:rsidR="00000000" w:rsidRPr="00000000">
        <w:rPr>
          <w:rtl w:val="0"/>
        </w:rPr>
        <w:t xml:space="preserv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Logistique :</w:t>
      </w:r>
      <w:r w:rsidDel="00000000" w:rsidR="00000000" w:rsidRPr="00000000">
        <w:rPr>
          <w:rtl w:val="0"/>
        </w:rPr>
        <w:t xml:space="preserve"> Accroissement de l'efficacité des circuits de distribution.</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b w:val="1"/>
          <w:bCs w:val="1"/>
          <w:rtl w:val="0"/>
        </w:rPr>
        <w:t xml:space="preserve">Ressources :</w:t>
      </w:r>
      <w:r w:rsidDel="00000000" w:rsidR="00000000" w:rsidRPr="00000000">
        <w:rPr>
          <w:rtl w:val="0"/>
        </w:rPr>
        <w:t xml:space="preserve"> Ajustement des consommations de matières (eau, intrants) via l'agriculture de précision.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hrokonbvjaq" w:id="6"/>
      <w:bookmarkEnd w:id="6"/>
      <w:r w:rsidDel="00000000" w:rsidR="00000000" w:rsidRPr="00000000">
        <w:rPr>
          <w:b w:val="1"/>
          <w:bCs w:val="1"/>
          <w:color w:val="000000"/>
          <w:sz w:val="26"/>
          <w:szCs w:val="26"/>
          <w:rtl w:val="0"/>
        </w:rPr>
        <w:t xml:space="preserve">4. Aide à la décision</w:t>
      </w:r>
    </w:p>
    <w:p w:rsidR="00000000" w:rsidDel="00000000" w:rsidP="00000000" w:rsidRDefault="00000000" w:rsidRPr="00000000" w14:paraId="00000018">
      <w:pPr>
        <w:spacing w:after="240" w:before="240" w:lineRule="auto"/>
        <w:rPr/>
      </w:pPr>
      <w:r w:rsidDel="00000000" w:rsidR="00000000" w:rsidRPr="00000000">
        <w:rPr>
          <w:rtl w:val="0"/>
        </w:rPr>
        <w:t xml:space="preserve">Les mathématiques permettent de forger des indicateurs de référence, tels que l'empreinte carbone ou les analyses de cycle de vie (ACV), et de modéliser les impacts des politiques d'atténuation ou d'adaptation.</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7psox9b7pnc" w:id="7"/>
      <w:bookmarkEnd w:id="7"/>
      <w:r w:rsidDel="00000000" w:rsidR="00000000" w:rsidRPr="00000000">
        <w:rPr>
          <w:b w:val="1"/>
          <w:bCs w:val="1"/>
          <w:sz w:val="34"/>
          <w:szCs w:val="34"/>
          <w:rtl w:val="0"/>
        </w:rPr>
        <w:t xml:space="preserve">II. Analyse systémique : les limites de la croissance et du recyclage</w:t>
      </w:r>
    </w:p>
    <w:p w:rsidR="00000000" w:rsidDel="00000000" w:rsidP="00000000" w:rsidRDefault="00000000" w:rsidRPr="00000000" w14:paraId="0000001B">
      <w:pPr>
        <w:spacing w:after="240" w:before="240" w:lineRule="auto"/>
        <w:rPr/>
      </w:pPr>
      <w:r w:rsidDel="00000000" w:rsidR="00000000" w:rsidRPr="00000000">
        <w:rPr>
          <w:rtl w:val="0"/>
        </w:rPr>
        <w:t xml:space="preserve">L'analyse des flux de matières non renouvelables démontre que le recyclage seul, sans une maîtrise de la croissance, est insuffisant pour garantir la durabilité.</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wmxbdstyc9e" w:id="8"/>
      <w:bookmarkEnd w:id="8"/>
      <w:r w:rsidDel="00000000" w:rsidR="00000000" w:rsidRPr="00000000">
        <w:rPr>
          <w:b w:val="1"/>
          <w:bCs w:val="1"/>
          <w:color w:val="000000"/>
          <w:sz w:val="26"/>
          <w:szCs w:val="26"/>
          <w:rtl w:val="0"/>
        </w:rPr>
        <w:t xml:space="preserve">Les conditions d'une économie circulaire réelle</w:t>
      </w:r>
    </w:p>
    <w:p w:rsidR="00000000" w:rsidDel="00000000" w:rsidP="00000000" w:rsidRDefault="00000000" w:rsidRPr="00000000" w14:paraId="0000001D">
      <w:pPr>
        <w:spacing w:after="240" w:before="240" w:lineRule="auto"/>
        <w:rPr/>
      </w:pPr>
      <w:r w:rsidDel="00000000" w:rsidR="00000000" w:rsidRPr="00000000">
        <w:rPr>
          <w:rtl w:val="0"/>
        </w:rPr>
        <w:t xml:space="preserve">Pour qu'une économie soit véritablement durable en termes de matières premières, trois conditions mathématiques doivent être satisfaites simultanément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7.037037037037"/>
        <w:gridCol w:w="2417.037037037037"/>
        <w:gridCol w:w="4525.925925925925"/>
        <w:tblGridChange w:id="0">
          <w:tblGrid>
            <w:gridCol w:w="2417.037037037037"/>
            <w:gridCol w:w="2417.037037037037"/>
            <w:gridCol w:w="4525.925925925925"/>
          </w:tblGrid>
        </w:tblGridChange>
      </w:tblGrid>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Condition</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Seuil Requis</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Justification</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Taux d'accumulation</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&lt; 20 % des consommations nouvelles</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Il faut produire au moins 80 % de déchets par rapport aux quantités consommées pour alimenter le cycle.</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Taux de recyclage</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60 à 80 % des déchets</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 recyclage massif par matière est nécessaire pour réduire la dépendance aux stocks primaires (mines).</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Croissance de la consommation</w:t>
            </w:r>
          </w:p>
        </w:tc>
        <w:tc>
          <w:tcP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&lt; 1 % par an</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C'est la condition "cardinale". Une croissance trop forte rend les déchets d'hier insuffisants pour couvrir les besoins bien plus larges d'aujourd'hui.</w:t>
            </w:r>
          </w:p>
        </w:tc>
      </w:tr>
    </w:tbl>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zoq0exk10af" w:id="9"/>
      <w:bookmarkEnd w:id="9"/>
      <w:r w:rsidDel="00000000" w:rsidR="00000000" w:rsidRPr="00000000">
        <w:rPr>
          <w:b w:val="1"/>
          <w:bCs w:val="1"/>
          <w:color w:val="000000"/>
          <w:sz w:val="26"/>
          <w:szCs w:val="26"/>
          <w:rtl w:val="0"/>
        </w:rPr>
        <w:t xml:space="preserve">Le constat de non-soutenabilité</w:t>
      </w:r>
    </w:p>
    <w:p w:rsidR="00000000" w:rsidDel="00000000" w:rsidP="00000000" w:rsidRDefault="00000000" w:rsidRPr="00000000" w14:paraId="0000002B">
      <w:pPr>
        <w:spacing w:after="240" w:before="240" w:lineRule="auto"/>
        <w:rPr/>
      </w:pPr>
      <w:r w:rsidDel="00000000" w:rsidR="00000000" w:rsidRPr="00000000">
        <w:rPr>
          <w:rtl w:val="0"/>
        </w:rPr>
        <w:t xml:space="preserve">Le modèle actuel est jugé non soutenable car :</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La croissance est trop forte (besoins actuels très supérieurs aux flux de déchets issus des consommations passées).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L'addition aux stocks est excessive (trop de biens accumulés, pas assez de déchets générés pour le recyclage).</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L'effort de recyclage reste insuffisant pour ralentir l'épuisement des ressources.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2ugh6ch3lr9" w:id="10"/>
      <w:bookmarkEnd w:id="10"/>
      <w:r w:rsidDel="00000000" w:rsidR="00000000" w:rsidRPr="00000000">
        <w:rPr>
          <w:b w:val="1"/>
          <w:bCs w:val="1"/>
          <w:sz w:val="34"/>
          <w:szCs w:val="34"/>
          <w:rtl w:val="0"/>
        </w:rPr>
        <w:t xml:space="preserve">III. L'équation de Kaya : décomposition des émissions de CO₂</w:t>
      </w:r>
    </w:p>
    <w:p w:rsidR="00000000" w:rsidDel="00000000" w:rsidP="00000000" w:rsidRDefault="00000000" w:rsidRPr="00000000" w14:paraId="00000031">
      <w:pPr>
        <w:spacing w:after="240" w:before="240" w:lineRule="auto"/>
        <w:rPr/>
      </w:pPr>
      <w:r w:rsidDel="00000000" w:rsidR="00000000" w:rsidRPr="00000000">
        <w:rPr>
          <w:rtl w:val="0"/>
        </w:rPr>
        <w:t xml:space="preserve">L'équation de Kaya est un outil mathématique fondamental pour identifier les leviers de réduction des émissions de gaz à effet de serre. Elle se présente sous la forme d'un produit de quatre facteurs :</w:t>
      </w:r>
    </w:p>
    <w:p w:rsidR="00000000" w:rsidDel="00000000" w:rsidP="00000000" w:rsidRDefault="00000000" w:rsidRPr="00000000" w14:paraId="00000032">
      <w:pPr>
        <w:spacing w:after="240" w:before="240" w:lineRule="auto"/>
        <w:jc w:val="center"/>
        <w:rPr/>
      </w:pPr>
      <w:r w:rsidDel="00000000" w:rsidR="00000000" w:rsidRPr="00000000">
        <w:rPr/>
        <w:drawing>
          <wp:inline distB="19050" distT="19050" distL="19050" distR="19050">
            <wp:extent cx="2603500" cy="368300"/>
            <wp:effectExtent b="0" l="0" r="0" t="0"/>
            <wp:docPr descr="{&quot;font&quot;:{&quot;color&quot;:&quot;#000000&quot;,&quot;family&quot;:&quot;Arial&quot;,&quot;size&quot;:11},&quot;backgroundColorModified&quot;:false,&quot;code&quot;:&quot;$$CO_{2} = \\frac{CO_{2}}{Tep} \\times \\frac{Tep}{PIB} \\times \\frac{PIB}{Pop} \\times Pop$$&quot;,&quot;id&quot;:&quot;1&quot;,&quot;backgroundColor&quot;:&quot;#ffffff&quot;,&quot;aid&quot;:null,&quot;type&quot;:&quot;$$&quot;,&quot;ts&quot;:1774544963888,&quot;cs&quot;:&quot;/xW9HLpxfoksQU6jucf1XQ==&quot;,&quot;size&quot;:{&quot;width&quot;:273,&quot;height&quot;:38}}" id="1" name="image4.png"/>
            <a:graphic>
              <a:graphicData uri="http://schemas.openxmlformats.org/drawingml/2006/picture">
                <pic:pic>
                  <pic:nvPicPr>
                    <pic:cNvPr descr="{&quot;font&quot;:{&quot;color&quot;:&quot;#000000&quot;,&quot;family&quot;:&quot;Arial&quot;,&quot;size&quot;:11},&quot;backgroundColorModified&quot;:false,&quot;code&quot;:&quot;$$CO_{2} = \\frac{CO_{2}}{Tep} \\times \\frac{Tep}{PIB} \\times \\frac{PIB}{Pop} \\times Pop$$&quot;,&quot;id&quot;:&quot;1&quot;,&quot;backgroundColor&quot;:&quot;#ffffff&quot;,&quot;aid&quot;:null,&quot;type&quot;:&quot;$$&quot;,&quot;ts&quot;:1774544963888,&quot;cs&quot;:&quot;/xW9HLpxfoksQU6jucf1XQ==&quot;,&quot;size&quot;:{&quot;width&quot;:273,&quot;height&quot;:38}}" id="0" name="image4.png"/>
                    <pic:cNvPicPr preferRelativeResize="0"/>
                  </pic:nvPicPr>
                  <pic:blipFill>
                    <a:blip r:embed="rId6"/>
                    <a:srcRect b="0" l="0" r="0" t="0"/>
                    <a:stretch>
                      <a:fillRect/>
                    </a:stretch>
                  </pic:blipFill>
                  <pic:spPr>
                    <a:xfrm>
                      <a:off x="0" y="0"/>
                      <a:ext cx="26035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zarm0k2qwl3" w:id="11"/>
      <w:bookmarkEnd w:id="11"/>
      <w:r w:rsidDel="00000000" w:rsidR="00000000" w:rsidRPr="00000000">
        <w:rPr>
          <w:b w:val="1"/>
          <w:bCs w:val="1"/>
          <w:color w:val="000000"/>
          <w:sz w:val="26"/>
          <w:szCs w:val="26"/>
          <w:rtl w:val="0"/>
        </w:rPr>
        <w:t xml:space="preserve">Signification des paramètres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Pr>
        <w:drawing>
          <wp:inline distB="19050" distT="19050" distL="19050" distR="19050">
            <wp:extent cx="660400" cy="152400"/>
            <wp:effectExtent b="0" l="0" r="0" t="0"/>
            <wp:docPr descr="{&quot;font&quot;:{&quot;family&quot;:&quot;Arial&quot;,&quot;size&quot;:11,&quot;color&quot;:&quot;#000000&quot;},&quot;code&quot;:&quot;$$CO_{2} / Tep$$&quot;,&quot;aid&quot;:null,&quot;backgroundColor&quot;:&quot;#ffffff&quot;,&quot;backgroundColorModified&quot;:false,&quot;type&quot;:&quot;$$&quot;,&quot;id&quot;:&quot;2&quot;,&quot;ts&quot;:1774544990863,&quot;cs&quot;:&quot;HPC1uhLuco8nIZy7+kEOkw==&quot;,&quot;size&quot;:{&quot;width&quot;:69,&quot;height&quot;:16}}" id="2" name="image3.png"/>
            <a:graphic>
              <a:graphicData uri="http://schemas.openxmlformats.org/drawingml/2006/picture">
                <pic:pic>
                  <pic:nvPicPr>
                    <pic:cNvPr descr="{&quot;font&quot;:{&quot;family&quot;:&quot;Arial&quot;,&quot;size&quot;:11,&quot;color&quot;:&quot;#000000&quot;},&quot;code&quot;:&quot;$$CO_{2} / Tep$$&quot;,&quot;aid&quot;:null,&quot;backgroundColor&quot;:&quot;#ffffff&quot;,&quot;backgroundColorModified&quot;:false,&quot;type&quot;:&quot;$$&quot;,&quot;id&quot;:&quot;2&quot;,&quot;ts&quot;:1774544990863,&quot;cs&quot;:&quot;HPC1uhLuco8nIZy7+kEOkw==&quot;,&quot;size&quot;:{&quot;width&quot;:69,&quot;height&quot;:16}}" id="0" name="image3.png"/>
                    <pic:cNvPicPr preferRelativeResize="0"/>
                  </pic:nvPicPr>
                  <pic:blipFill>
                    <a:blip r:embed="rId7"/>
                    <a:srcRect b="0" l="0" r="0" t="0"/>
                    <a:stretch>
                      <a:fillRect/>
                    </a:stretch>
                  </pic:blipFill>
                  <pic:spPr>
                    <a:xfrm>
                      <a:off x="0" y="0"/>
                      <a:ext cx="660400" cy="152400"/>
                    </a:xfrm>
                    <a:prstGeom prst="rect"/>
                    <a:ln/>
                  </pic:spPr>
                </pic:pic>
              </a:graphicData>
            </a:graphic>
          </wp:inline>
        </w:drawing>
      </w:r>
      <w:r w:rsidDel="00000000" w:rsidR="00000000" w:rsidRPr="00000000">
        <w:rPr>
          <w:b w:val="1"/>
          <w:bCs w:val="1"/>
          <w:rtl w:val="0"/>
        </w:rPr>
        <w:t xml:space="preserve"> (Intensité carbone de l'énergie) :</w:t>
      </w:r>
      <w:r w:rsidDel="00000000" w:rsidR="00000000" w:rsidRPr="00000000">
        <w:rPr>
          <w:rtl w:val="0"/>
        </w:rPr>
        <w:t xml:space="preserve"> La "nuisance" de l'énergie, soit la quantité de CO₂ émise par unité d'énergie consommée. Le levier principal est ici le changement de mix énergétique (énergies vertes).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Pr>
        <w:drawing>
          <wp:inline distB="19050" distT="19050" distL="19050" distR="19050">
            <wp:extent cx="673100" cy="152400"/>
            <wp:effectExtent b="0" l="0" r="0" t="0"/>
            <wp:docPr descr="{&quot;type&quot;:&quot;$$&quot;,&quot;aid&quot;:null,&quot;backgroundColorModified&quot;:false,&quot;font&quot;:{&quot;size&quot;:11,&quot;family&quot;:&quot;Arial&quot;,&quot;color&quot;:&quot;#000000&quot;},&quot;id&quot;:&quot;3&quot;,&quot;code&quot;:&quot;$$Tep / PIB$$&quot;,&quot;backgroundColor&quot;:&quot;#ffffff&quot;,&quot;ts&quot;:1774545052130,&quot;cs&quot;:&quot;l2ZWYnQKU9IaKH+Fppl4OQ==&quot;,&quot;size&quot;:{&quot;width&quot;:70,&quot;height&quot;:16}}" id="4" name="image2.png"/>
            <a:graphic>
              <a:graphicData uri="http://schemas.openxmlformats.org/drawingml/2006/picture">
                <pic:pic>
                  <pic:nvPicPr>
                    <pic:cNvPr descr="{&quot;type&quot;:&quot;$$&quot;,&quot;aid&quot;:null,&quot;backgroundColorModified&quot;:false,&quot;font&quot;:{&quot;size&quot;:11,&quot;family&quot;:&quot;Arial&quot;,&quot;color&quot;:&quot;#000000&quot;},&quot;id&quot;:&quot;3&quot;,&quot;code&quot;:&quot;$$Tep / PIB$$&quot;,&quot;backgroundColor&quot;:&quot;#ffffff&quot;,&quot;ts&quot;:1774545052130,&quot;cs&quot;:&quot;l2ZWYnQKU9IaKH+Fppl4OQ==&quot;,&quot;size&quot;:{&quot;width&quot;:70,&quot;height&quot;:16}}" id="0" name="image2.png"/>
                    <pic:cNvPicPr preferRelativeResize="0"/>
                  </pic:nvPicPr>
                  <pic:blipFill>
                    <a:blip r:embed="rId8"/>
                    <a:srcRect b="0" l="0" r="0" t="0"/>
                    <a:stretch>
                      <a:fillRect/>
                    </a:stretch>
                  </pic:blipFill>
                  <pic:spPr>
                    <a:xfrm>
                      <a:off x="0" y="0"/>
                      <a:ext cx="673100" cy="152400"/>
                    </a:xfrm>
                    <a:prstGeom prst="rect"/>
                    <a:ln/>
                  </pic:spPr>
                </pic:pic>
              </a:graphicData>
            </a:graphic>
          </wp:inline>
        </w:drawing>
      </w:r>
      <w:r w:rsidDel="00000000" w:rsidR="00000000" w:rsidRPr="00000000">
        <w:rPr>
          <w:b w:val="1"/>
          <w:bCs w:val="1"/>
          <w:rtl w:val="0"/>
        </w:rPr>
        <w:t xml:space="preserve"> (Intensité énergétique du PIB) :</w:t>
      </w:r>
      <w:r w:rsidDel="00000000" w:rsidR="00000000" w:rsidRPr="00000000">
        <w:rPr>
          <w:rtl w:val="0"/>
        </w:rPr>
        <w:t xml:space="preserve"> L'énergie nécessaire pour produire une unité de richesse. Ce facteur peut être réduit par l'amélioration de l'efficacité technologique ou par la sobriété énergétique.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Pr>
        <w:drawing>
          <wp:inline distB="19050" distT="19050" distL="19050" distR="19050">
            <wp:extent cx="685800" cy="152400"/>
            <wp:effectExtent b="0" l="0" r="0" t="0"/>
            <wp:docPr descr="{&quot;id&quot;:&quot;4&quot;,&quot;backgroundColor&quot;:&quot;#ffffff&quot;,&quot;font&quot;:{&quot;size&quot;:11,&quot;color&quot;:&quot;#000000&quot;,&quot;family&quot;:&quot;Arial&quot;},&quot;aid&quot;:null,&quot;backgroundColorModified&quot;:false,&quot;code&quot;:&quot;$$PIB / Pop$$&quot;,&quot;type&quot;:&quot;$$&quot;,&quot;ts&quot;:1774545084821,&quot;cs&quot;:&quot;I2KI17bIDLZn2MEKGDcwzA==&quot;,&quot;size&quot;:{&quot;width&quot;:72,&quot;height&quot;:16}}" id="3" name="image1.png"/>
            <a:graphic>
              <a:graphicData uri="http://schemas.openxmlformats.org/drawingml/2006/picture">
                <pic:pic>
                  <pic:nvPicPr>
                    <pic:cNvPr descr="{&quot;id&quot;:&quot;4&quot;,&quot;backgroundColor&quot;:&quot;#ffffff&quot;,&quot;font&quot;:{&quot;size&quot;:11,&quot;color&quot;:&quot;#000000&quot;,&quot;family&quot;:&quot;Arial&quot;},&quot;aid&quot;:null,&quot;backgroundColorModified&quot;:false,&quot;code&quot;:&quot;$$PIB / Pop$$&quot;,&quot;type&quot;:&quot;$$&quot;,&quot;ts&quot;:1774545084821,&quot;cs&quot;:&quot;I2KI17bIDLZn2MEKGDcwzA==&quot;,&quot;size&quot;:{&quot;width&quot;:72,&quot;height&quot;:16}}" id="0" name="image1.png"/>
                    <pic:cNvPicPr preferRelativeResize="0"/>
                  </pic:nvPicPr>
                  <pic:blipFill>
                    <a:blip r:embed="rId9"/>
                    <a:srcRect b="0" l="0" r="0" t="0"/>
                    <a:stretch>
                      <a:fillRect/>
                    </a:stretch>
                  </pic:blipFill>
                  <pic:spPr>
                    <a:xfrm>
                      <a:off x="0" y="0"/>
                      <a:ext cx="685800" cy="152400"/>
                    </a:xfrm>
                    <a:prstGeom prst="rect"/>
                    <a:ln/>
                  </pic:spPr>
                </pic:pic>
              </a:graphicData>
            </a:graphic>
          </wp:inline>
        </w:drawing>
      </w:r>
      <w:r w:rsidDel="00000000" w:rsidR="00000000" w:rsidRPr="00000000">
        <w:rPr>
          <w:b w:val="1"/>
          <w:bCs w:val="1"/>
          <w:rtl w:val="0"/>
        </w:rPr>
        <w:t xml:space="preserve"> (Richesse par habitant) :</w:t>
      </w:r>
      <w:r w:rsidDel="00000000" w:rsidR="00000000" w:rsidRPr="00000000">
        <w:rPr>
          <w:rtl w:val="0"/>
        </w:rPr>
        <w:t xml:space="preserve"> Associé au pouvoir d'achat. Historiquement, ce paramètre tend à augmenter (environ 2 % par an).</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Pr>
        <w:drawing>
          <wp:inline distB="19050" distT="19050" distL="19050" distR="19050">
            <wp:extent cx="266700" cy="139700"/>
            <wp:effectExtent b="0" l="0" r="0" t="0"/>
            <wp:docPr descr="{&quot;aid&quot;:null,&quot;backgroundColorModified&quot;:false,&quot;type&quot;:&quot;$$&quot;,&quot;code&quot;:&quot;$$Pop$$&quot;,&quot;id&quot;:&quot;5&quot;,&quot;backgroundColor&quot;:&quot;#ffffff&quot;,&quot;font&quot;:{&quot;family&quot;:&quot;Arial&quot;,&quot;size&quot;:11,&quot;color&quot;:&quot;#000000&quot;},&quot;ts&quot;:1774545097454,&quot;cs&quot;:&quot;v+74Of3n22fMI5J5qah1yw==&quot;,&quot;size&quot;:{&quot;width&quot;:28,&quot;height&quot;:14}}" id="5" name="image5.png"/>
            <a:graphic>
              <a:graphicData uri="http://schemas.openxmlformats.org/drawingml/2006/picture">
                <pic:pic>
                  <pic:nvPicPr>
                    <pic:cNvPr descr="{&quot;aid&quot;:null,&quot;backgroundColorModified&quot;:false,&quot;type&quot;:&quot;$$&quot;,&quot;code&quot;:&quot;$$Pop$$&quot;,&quot;id&quot;:&quot;5&quot;,&quot;backgroundColor&quot;:&quot;#ffffff&quot;,&quot;font&quot;:{&quot;family&quot;:&quot;Arial&quot;,&quot;size&quot;:11,&quot;color&quot;:&quot;#000000&quot;},&quot;ts&quot;:1774545097454,&quot;cs&quot;:&quot;v+74Of3n22fMI5J5qah1yw==&quot;,&quot;size&quot;:{&quot;width&quot;:28,&quot;height&quot;:14}}" id="0" name="image5.png"/>
                    <pic:cNvPicPr preferRelativeResize="0"/>
                  </pic:nvPicPr>
                  <pic:blipFill>
                    <a:blip r:embed="rId10"/>
                    <a:srcRect b="0" l="0" r="0" t="0"/>
                    <a:stretch>
                      <a:fillRect/>
                    </a:stretch>
                  </pic:blipFill>
                  <pic:spPr>
                    <a:xfrm>
                      <a:off x="0" y="0"/>
                      <a:ext cx="266700" cy="139700"/>
                    </a:xfrm>
                    <a:prstGeom prst="rect"/>
                    <a:ln/>
                  </pic:spPr>
                </pic:pic>
              </a:graphicData>
            </a:graphic>
          </wp:inline>
        </w:drawing>
      </w:r>
      <w:r w:rsidDel="00000000" w:rsidR="00000000" w:rsidRPr="00000000">
        <w:rPr>
          <w:b w:val="1"/>
          <w:bCs w:val="1"/>
          <w:rtl w:val="0"/>
        </w:rPr>
        <w:t xml:space="preserve"> (Population) :</w:t>
      </w:r>
      <w:r w:rsidDel="00000000" w:rsidR="00000000" w:rsidRPr="00000000">
        <w:rPr>
          <w:rtl w:val="0"/>
        </w:rPr>
        <w:t xml:space="preserve"> Le nombre d'habitants, dont la croissance est estimée à un facteur 1,6 d'ici 2040.</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84pan57hwyy" w:id="12"/>
      <w:bookmarkEnd w:id="12"/>
      <w:r w:rsidDel="00000000" w:rsidR="00000000" w:rsidRPr="00000000">
        <w:rPr>
          <w:b w:val="1"/>
          <w:bCs w:val="1"/>
          <w:color w:val="000000"/>
          <w:sz w:val="26"/>
          <w:szCs w:val="26"/>
          <w:rtl w:val="0"/>
        </w:rPr>
        <w:t xml:space="preserve">L'objectif de 2050</w:t>
      </w:r>
    </w:p>
    <w:p w:rsidR="00000000" w:rsidDel="00000000" w:rsidP="00000000" w:rsidRDefault="00000000" w:rsidRPr="00000000" w14:paraId="00000039">
      <w:pPr>
        <w:spacing w:after="240" w:before="240" w:lineRule="auto"/>
        <w:rPr/>
      </w:pPr>
      <w:r w:rsidDel="00000000" w:rsidR="00000000" w:rsidRPr="00000000">
        <w:rPr>
          <w:rtl w:val="0"/>
        </w:rPr>
        <w:t xml:space="preserve">Pour limiter le réchauffement à 2 °C, les émissions de CO₂ doivent être divisées par 3. Or, avec l'augmentation prévue de la population (x1,6) et du pouvoir d'achat (x2,2 sur 40 ans), les deux premiers paramètres (intensité carbone et intensité énergétique) doivent mathématiquement être divisés par un facteur 10 pour compenser ces hausses et atteindre l'objectif global de réduction.</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sugoh35w3uep" w:id="13"/>
      <w:bookmarkEnd w:id="13"/>
      <w:r w:rsidDel="00000000" w:rsidR="00000000" w:rsidRPr="00000000">
        <w:rPr>
          <w:b w:val="1"/>
          <w:bCs w:val="1"/>
          <w:sz w:val="34"/>
          <w:szCs w:val="34"/>
          <w:rtl w:val="0"/>
        </w:rPr>
        <w:t xml:space="preserve">IV. Enseignement et Compétences en Mathématiques</w:t>
      </w:r>
    </w:p>
    <w:p w:rsidR="00000000" w:rsidDel="00000000" w:rsidP="00000000" w:rsidRDefault="00000000" w:rsidRPr="00000000" w14:paraId="0000003C">
      <w:pPr>
        <w:spacing w:after="240" w:before="240" w:lineRule="auto"/>
        <w:rPr/>
      </w:pPr>
      <w:r w:rsidDel="00000000" w:rsidR="00000000" w:rsidRPr="00000000">
        <w:rPr>
          <w:rtl w:val="0"/>
        </w:rPr>
        <w:t xml:space="preserve">L'intégration de la transition écologique dans le cursus mathématique universitaire permet de développer des compétences spécifiques et transversales.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v9evaktf5i2" w:id="14"/>
      <w:bookmarkEnd w:id="14"/>
      <w:r w:rsidDel="00000000" w:rsidR="00000000" w:rsidRPr="00000000">
        <w:rPr>
          <w:b w:val="1"/>
          <w:bCs w:val="1"/>
          <w:color w:val="000000"/>
          <w:sz w:val="26"/>
          <w:szCs w:val="26"/>
          <w:rtl w:val="0"/>
        </w:rPr>
        <w:t xml:space="preserve">Compétences Disciplinaires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Modélisation :</w:t>
      </w:r>
      <w:r w:rsidDel="00000000" w:rsidR="00000000" w:rsidRPr="00000000">
        <w:rPr>
          <w:rtl w:val="0"/>
        </w:rPr>
        <w:t xml:space="preserve"> Traduction de problèmes concrets (optimisation, évolution de systèmes) en équations.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Analyse de données :</w:t>
      </w:r>
      <w:r w:rsidDel="00000000" w:rsidR="00000000" w:rsidRPr="00000000">
        <w:rPr>
          <w:rtl w:val="0"/>
        </w:rPr>
        <w:t xml:space="preserve"> Statistiques, probabilités et analyse de la fiabilité (biais, incertitudes, limites méthodologiques).</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Outils fondamentaux :</w:t>
      </w:r>
      <w:r w:rsidDel="00000000" w:rsidR="00000000" w:rsidRPr="00000000">
        <w:rPr>
          <w:rtl w:val="0"/>
        </w:rPr>
        <w:t xml:space="preserve"> Maîtrise des équations différentielles et des fonctions exponentielles et logarithmiques pour interpréter les croissances et déclins.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dlo7lzhqsho" w:id="15"/>
      <w:bookmarkEnd w:id="15"/>
      <w:r w:rsidDel="00000000" w:rsidR="00000000" w:rsidRPr="00000000">
        <w:rPr>
          <w:b w:val="1"/>
          <w:bCs w:val="1"/>
          <w:color w:val="000000"/>
          <w:sz w:val="26"/>
          <w:szCs w:val="26"/>
          <w:rtl w:val="0"/>
        </w:rPr>
        <w:t xml:space="preserve">Compétences Transversales</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b w:val="1"/>
          <w:bCs w:val="1"/>
          <w:rtl w:val="0"/>
        </w:rPr>
        <w:t xml:space="preserve">Pensée critique :</w:t>
      </w:r>
      <w:r w:rsidDel="00000000" w:rsidR="00000000" w:rsidRPr="00000000">
        <w:rPr>
          <w:rtl w:val="0"/>
        </w:rPr>
        <w:t xml:space="preserve"> Interroger le choix des paramètres et des modèles ; différencier "l'efficace" et le "probable" du "souhaitable" et du "désirable" (éthique).</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bCs w:val="1"/>
          <w:rtl w:val="0"/>
        </w:rPr>
        <w:t xml:space="preserve">Interdisciplinarité :</w:t>
      </w:r>
      <w:r w:rsidDel="00000000" w:rsidR="00000000" w:rsidRPr="00000000">
        <w:rPr>
          <w:rtl w:val="0"/>
        </w:rPr>
        <w:t xml:space="preserve"> Collaborer avec la climatologie, l'écologie et l'économie.</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b w:val="1"/>
          <w:bCs w:val="1"/>
          <w:rtl w:val="0"/>
        </w:rPr>
        <w:t xml:space="preserve">Communication :</w:t>
      </w:r>
      <w:r w:rsidDel="00000000" w:rsidR="00000000" w:rsidRPr="00000000">
        <w:rPr>
          <w:rtl w:val="0"/>
        </w:rPr>
        <w:t xml:space="preserve"> Savoir expliquer des résultats complexes à des non-spécialistes ou des décideurs.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2l5ynuaeon" w:id="16"/>
      <w:bookmarkEnd w:id="16"/>
      <w:r w:rsidDel="00000000" w:rsidR="00000000" w:rsidRPr="00000000">
        <w:rPr>
          <w:b w:val="1"/>
          <w:bCs w:val="1"/>
          <w:color w:val="000000"/>
          <w:sz w:val="26"/>
          <w:szCs w:val="26"/>
          <w:rtl w:val="0"/>
        </w:rPr>
        <w:t xml:space="preserve">Exemples d'activités pédagogiques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Analyse statistique de l'évolution des températures locales ou des émissions de CO₂ à partir de données réelles.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Calcul de l'empreinte carbone d'activités étudiantes (comparaison de modes de vie).</w:t>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rtl w:val="0"/>
        </w:rPr>
        <w:t xml:space="preserve">Utilisation de modèles climatiques pour comprendre les tendances de fond.</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ynl7re8zlry" w:id="17"/>
      <w:bookmarkEnd w:id="17"/>
      <w:r w:rsidDel="00000000" w:rsidR="00000000" w:rsidRPr="00000000">
        <w:rPr>
          <w:b w:val="1"/>
          <w:bCs w:val="1"/>
          <w:sz w:val="34"/>
          <w:szCs w:val="34"/>
          <w:rtl w:val="0"/>
        </w:rPr>
        <w:t xml:space="preserve">Bibliographie</w:t>
      </w:r>
    </w:p>
    <w:p w:rsidR="00000000" w:rsidDel="00000000" w:rsidP="00000000" w:rsidRDefault="00000000" w:rsidRPr="00000000" w14:paraId="0000004B">
      <w:pPr>
        <w:numPr>
          <w:ilvl w:val="0"/>
          <w:numId w:val="11"/>
        </w:numPr>
        <w:spacing w:after="240" w:before="240" w:lineRule="auto"/>
        <w:ind w:left="720" w:hanging="360"/>
        <w:rPr>
          <w:u w:val="none"/>
        </w:rPr>
      </w:pPr>
      <w:hyperlink r:id="rId11">
        <w:r w:rsidDel="00000000" w:rsidR="00000000" w:rsidRPr="00000000">
          <w:rPr>
            <w:color w:val="1155cc"/>
            <w:u w:val="single"/>
            <w:rtl w:val="0"/>
          </w:rPr>
          <w:t xml:space="preserve">Mathématiques et Transition écologique</w:t>
        </w:r>
      </w:hyperlink>
      <w:r w:rsidDel="00000000" w:rsidR="00000000" w:rsidRPr="00000000">
        <w:rPr>
          <w:rtl w:val="0"/>
        </w:rPr>
      </w:r>
    </w:p>
    <w:p w:rsidR="00000000" w:rsidDel="00000000" w:rsidP="00000000" w:rsidRDefault="00000000" w:rsidRPr="00000000" w14:paraId="0000004C">
      <w:pPr>
        <w:pStyle w:val="Heading3"/>
        <w:spacing w:after="240" w:before="240" w:lineRule="auto"/>
        <w:rPr/>
      </w:pPr>
      <w:bookmarkStart w:colFirst="0" w:colLast="0" w:name="_btr9rboerrpt" w:id="18"/>
      <w:bookmarkEnd w:id="18"/>
      <w:r w:rsidDel="00000000" w:rsidR="00000000" w:rsidRPr="00000000">
        <w:rPr>
          <w:rtl w:val="0"/>
        </w:rPr>
        <w:t xml:space="preserve">Modélisation en sciences de l’environnement</w:t>
      </w:r>
    </w:p>
    <w:p w:rsidR="00000000" w:rsidDel="00000000" w:rsidP="00000000" w:rsidRDefault="00000000" w:rsidRPr="00000000" w14:paraId="0000004D">
      <w:pPr>
        <w:numPr>
          <w:ilvl w:val="0"/>
          <w:numId w:val="7"/>
        </w:numPr>
        <w:spacing w:after="0" w:afterAutospacing="0" w:before="240" w:lineRule="auto"/>
        <w:ind w:left="720" w:hanging="360"/>
        <w:rPr>
          <w:u w:val="none"/>
        </w:rPr>
      </w:pPr>
      <w:hyperlink r:id="rId12">
        <w:r w:rsidDel="00000000" w:rsidR="00000000" w:rsidRPr="00000000">
          <w:rPr>
            <w:color w:val="1155cc"/>
            <w:u w:val="single"/>
            <w:rtl w:val="0"/>
          </w:rPr>
          <w:t xml:space="preserve">L’équation de Kaya</w:t>
        </w:r>
      </w:hyperlink>
      <w:r w:rsidDel="00000000" w:rsidR="00000000" w:rsidRPr="00000000">
        <w:rPr>
          <w:rtl w:val="0"/>
        </w:rPr>
      </w:r>
    </w:p>
    <w:p w:rsidR="00000000" w:rsidDel="00000000" w:rsidP="00000000" w:rsidRDefault="00000000" w:rsidRPr="00000000" w14:paraId="0000004E">
      <w:pPr>
        <w:numPr>
          <w:ilvl w:val="0"/>
          <w:numId w:val="7"/>
        </w:numPr>
        <w:spacing w:after="0" w:afterAutospacing="0" w:before="0" w:beforeAutospacing="0" w:lineRule="auto"/>
        <w:ind w:left="720" w:hanging="360"/>
        <w:rPr>
          <w:u w:val="none"/>
        </w:rPr>
      </w:pPr>
      <w:hyperlink r:id="rId13">
        <w:r w:rsidDel="00000000" w:rsidR="00000000" w:rsidRPr="00000000">
          <w:rPr>
            <w:color w:val="1155cc"/>
            <w:u w:val="single"/>
            <w:rtl w:val="0"/>
          </w:rPr>
          <w:t xml:space="preserve">Les limites du recyclage face à la croissance : synthèse</w:t>
        </w:r>
      </w:hyperlink>
      <w:r w:rsidDel="00000000" w:rsidR="00000000" w:rsidRPr="00000000">
        <w:rPr>
          <w:rtl w:val="0"/>
        </w:rPr>
      </w:r>
    </w:p>
    <w:p w:rsidR="00000000" w:rsidDel="00000000" w:rsidP="00000000" w:rsidRDefault="00000000" w:rsidRPr="00000000" w14:paraId="0000004F">
      <w:pPr>
        <w:numPr>
          <w:ilvl w:val="0"/>
          <w:numId w:val="7"/>
        </w:numPr>
        <w:spacing w:after="0" w:afterAutospacing="0" w:before="0" w:beforeAutospacing="0" w:lineRule="auto"/>
        <w:ind w:left="720" w:hanging="360"/>
        <w:rPr>
          <w:u w:val="none"/>
        </w:rPr>
      </w:pPr>
      <w:hyperlink r:id="rId14">
        <w:r w:rsidDel="00000000" w:rsidR="00000000" w:rsidRPr="00000000">
          <w:rPr>
            <w:color w:val="1155cc"/>
            <w:u w:val="single"/>
            <w:rtl w:val="0"/>
          </w:rPr>
          <w:t xml:space="preserve">Les modèles de climat</w:t>
        </w:r>
      </w:hyperlink>
      <w:r w:rsidDel="00000000" w:rsidR="00000000" w:rsidRPr="00000000">
        <w:rPr>
          <w:rtl w:val="0"/>
        </w:rPr>
      </w:r>
    </w:p>
    <w:p w:rsidR="00000000" w:rsidDel="00000000" w:rsidP="00000000" w:rsidRDefault="00000000" w:rsidRPr="00000000" w14:paraId="00000050">
      <w:pPr>
        <w:numPr>
          <w:ilvl w:val="0"/>
          <w:numId w:val="7"/>
        </w:numPr>
        <w:spacing w:after="0" w:afterAutospacing="0" w:before="0" w:beforeAutospacing="0" w:lineRule="auto"/>
        <w:ind w:left="720" w:hanging="360"/>
        <w:rPr>
          <w:u w:val="none"/>
        </w:rPr>
      </w:pPr>
      <w:hyperlink r:id="rId15">
        <w:r w:rsidDel="00000000" w:rsidR="00000000" w:rsidRPr="00000000">
          <w:rPr>
            <w:color w:val="1155cc"/>
            <w:u w:val="single"/>
            <w:rtl w:val="0"/>
          </w:rPr>
          <w:t xml:space="preserve">Evaluation des modèles climatiques</w:t>
        </w:r>
      </w:hyperlink>
      <w:r w:rsidDel="00000000" w:rsidR="00000000" w:rsidRPr="00000000">
        <w:rPr>
          <w:rtl w:val="0"/>
        </w:rPr>
      </w:r>
    </w:p>
    <w:p w:rsidR="00000000" w:rsidDel="00000000" w:rsidP="00000000" w:rsidRDefault="00000000" w:rsidRPr="00000000" w14:paraId="00000051">
      <w:pPr>
        <w:numPr>
          <w:ilvl w:val="0"/>
          <w:numId w:val="7"/>
        </w:numPr>
        <w:spacing w:after="0" w:afterAutospacing="0" w:before="0" w:beforeAutospacing="0" w:lineRule="auto"/>
        <w:ind w:left="720" w:hanging="360"/>
        <w:rPr>
          <w:u w:val="none"/>
        </w:rPr>
      </w:pPr>
      <w:hyperlink r:id="rId16">
        <w:r w:rsidDel="00000000" w:rsidR="00000000" w:rsidRPr="00000000">
          <w:rPr>
            <w:color w:val="1155cc"/>
            <w:u w:val="single"/>
            <w:rtl w:val="0"/>
          </w:rPr>
          <w:t xml:space="preserve">Les scénarios climatiques</w:t>
        </w:r>
      </w:hyperlink>
      <w:r w:rsidDel="00000000" w:rsidR="00000000" w:rsidRPr="00000000">
        <w:rPr>
          <w:rtl w:val="0"/>
        </w:rPr>
      </w:r>
    </w:p>
    <w:p w:rsidR="00000000" w:rsidDel="00000000" w:rsidP="00000000" w:rsidRDefault="00000000" w:rsidRPr="00000000" w14:paraId="00000052">
      <w:pPr>
        <w:numPr>
          <w:ilvl w:val="0"/>
          <w:numId w:val="7"/>
        </w:numPr>
        <w:spacing w:after="0" w:afterAutospacing="0" w:before="0" w:beforeAutospacing="0" w:lineRule="auto"/>
        <w:ind w:left="720" w:hanging="360"/>
        <w:rPr>
          <w:u w:val="none"/>
        </w:rPr>
      </w:pPr>
      <w:hyperlink r:id="rId17">
        <w:r w:rsidDel="00000000" w:rsidR="00000000" w:rsidRPr="00000000">
          <w:rPr>
            <w:color w:val="1155cc"/>
            <w:u w:val="single"/>
            <w:rtl w:val="0"/>
          </w:rPr>
          <w:t xml:space="preserve">Quantifier la contrainte climatique</w:t>
        </w:r>
      </w:hyperlink>
      <w:r w:rsidDel="00000000" w:rsidR="00000000" w:rsidRPr="00000000">
        <w:rPr>
          <w:rtl w:val="0"/>
        </w:rPr>
      </w:r>
    </w:p>
    <w:p w:rsidR="00000000" w:rsidDel="00000000" w:rsidP="00000000" w:rsidRDefault="00000000" w:rsidRPr="00000000" w14:paraId="00000053">
      <w:pPr>
        <w:numPr>
          <w:ilvl w:val="0"/>
          <w:numId w:val="7"/>
        </w:numPr>
        <w:spacing w:after="0" w:afterAutospacing="0" w:before="0" w:beforeAutospacing="0" w:lineRule="auto"/>
        <w:ind w:left="720" w:hanging="360"/>
        <w:rPr>
          <w:u w:val="none"/>
        </w:rPr>
      </w:pPr>
      <w:hyperlink r:id="rId18">
        <w:r w:rsidDel="00000000" w:rsidR="00000000" w:rsidRPr="00000000">
          <w:rPr>
            <w:color w:val="1155cc"/>
            <w:u w:val="single"/>
            <w:rtl w:val="0"/>
          </w:rPr>
          <w:t xml:space="preserve">Raccorder au réel les trajectoires d’émission</w:t>
        </w:r>
      </w:hyperlink>
      <w:r w:rsidDel="00000000" w:rsidR="00000000" w:rsidRPr="00000000">
        <w:rPr>
          <w:rtl w:val="0"/>
        </w:rPr>
      </w:r>
    </w:p>
    <w:p w:rsidR="00000000" w:rsidDel="00000000" w:rsidP="00000000" w:rsidRDefault="00000000" w:rsidRPr="00000000" w14:paraId="00000054">
      <w:pPr>
        <w:numPr>
          <w:ilvl w:val="0"/>
          <w:numId w:val="7"/>
        </w:numPr>
        <w:spacing w:after="240" w:before="0" w:beforeAutospacing="0" w:lineRule="auto"/>
        <w:ind w:left="720" w:hanging="360"/>
        <w:rPr>
          <w:u w:val="none"/>
        </w:rPr>
      </w:pPr>
      <w:hyperlink r:id="rId19">
        <w:r w:rsidDel="00000000" w:rsidR="00000000" w:rsidRPr="00000000">
          <w:rPr>
            <w:color w:val="1155cc"/>
            <w:u w:val="single"/>
            <w:rtl w:val="0"/>
          </w:rPr>
          <w:t xml:space="preserve">Déterminer les engagements compatibles avec l’objectif de 2°C</w:t>
        </w:r>
      </w:hyperlink>
      <w:r w:rsidDel="00000000" w:rsidR="00000000" w:rsidRPr="00000000">
        <w:rPr>
          <w:rtl w:val="0"/>
        </w:rPr>
      </w:r>
    </w:p>
    <w:p w:rsidR="00000000" w:rsidDel="00000000" w:rsidP="00000000" w:rsidRDefault="00000000" w:rsidRPr="00000000" w14:paraId="00000055">
      <w:pPr>
        <w:pStyle w:val="Heading3"/>
        <w:spacing w:after="240" w:before="240" w:lineRule="auto"/>
        <w:rPr/>
      </w:pPr>
      <w:bookmarkStart w:colFirst="0" w:colLast="0" w:name="_meq45596y68f" w:id="19"/>
      <w:bookmarkEnd w:id="19"/>
      <w:r w:rsidDel="00000000" w:rsidR="00000000" w:rsidRPr="00000000">
        <w:rPr>
          <w:rtl w:val="0"/>
        </w:rPr>
        <w:t xml:space="preserve">Analyse statistique en sciences de l’environnement</w:t>
      </w:r>
    </w:p>
    <w:p w:rsidR="00000000" w:rsidDel="00000000" w:rsidP="00000000" w:rsidRDefault="00000000" w:rsidRPr="00000000" w14:paraId="00000056">
      <w:pPr>
        <w:numPr>
          <w:ilvl w:val="0"/>
          <w:numId w:val="4"/>
        </w:numPr>
        <w:spacing w:after="240" w:before="240" w:lineRule="auto"/>
        <w:ind w:left="720" w:hanging="360"/>
        <w:rPr>
          <w:u w:val="none"/>
        </w:rPr>
      </w:pPr>
      <w:hyperlink r:id="rId20">
        <w:r w:rsidDel="00000000" w:rsidR="00000000" w:rsidRPr="00000000">
          <w:rPr>
            <w:color w:val="1155cc"/>
            <w:u w:val="single"/>
            <w:rtl w:val="0"/>
          </w:rPr>
          <w:t xml:space="preserve">Variabilité climatique : comment l’aborder par les données ?</w:t>
        </w:r>
      </w:hyperlink>
      <w:r w:rsidDel="00000000" w:rsidR="00000000" w:rsidRPr="00000000">
        <w:rPr>
          <w:rtl w:val="0"/>
        </w:rPr>
      </w:r>
    </w:p>
    <w:p w:rsidR="00000000" w:rsidDel="00000000" w:rsidP="00000000" w:rsidRDefault="00000000" w:rsidRPr="00000000" w14:paraId="00000057">
      <w:pPr>
        <w:pStyle w:val="Heading3"/>
        <w:spacing w:after="240" w:before="240" w:lineRule="auto"/>
        <w:rPr/>
      </w:pPr>
      <w:bookmarkStart w:colFirst="0" w:colLast="0" w:name="_a8lm6h4flsj4" w:id="20"/>
      <w:bookmarkEnd w:id="20"/>
      <w:r w:rsidDel="00000000" w:rsidR="00000000" w:rsidRPr="00000000">
        <w:rPr>
          <w:rtl w:val="0"/>
        </w:rPr>
        <w:t xml:space="preserve">Ressources complémentaires (via WeLearn)</w:t>
      </w:r>
    </w:p>
    <w:p w:rsidR="00000000" w:rsidDel="00000000" w:rsidP="00000000" w:rsidRDefault="00000000" w:rsidRPr="00000000" w14:paraId="00000058">
      <w:pPr>
        <w:numPr>
          <w:ilvl w:val="0"/>
          <w:numId w:val="5"/>
        </w:numPr>
        <w:ind w:left="720" w:hanging="360"/>
        <w:rPr>
          <w:u w:val="none"/>
        </w:rPr>
      </w:pPr>
      <w:hyperlink r:id="rId21">
        <w:r w:rsidDel="00000000" w:rsidR="00000000" w:rsidRPr="00000000">
          <w:rPr>
            <w:color w:val="1155cc"/>
            <w:u w:val="single"/>
            <w:rtl w:val="0"/>
          </w:rPr>
          <w:t xml:space="preserve">L'intelligence numérique peut aider à réduire les GES… et les aggraver. Voici comment jongler avec ce paradoxe</w:t>
        </w:r>
      </w:hyperlink>
      <w:r w:rsidDel="00000000" w:rsidR="00000000" w:rsidRPr="00000000">
        <w:rPr>
          <w:rtl w:val="0"/>
        </w:rPr>
      </w:r>
    </w:p>
    <w:p w:rsidR="00000000" w:rsidDel="00000000" w:rsidP="00000000" w:rsidRDefault="00000000" w:rsidRPr="00000000" w14:paraId="00000059">
      <w:pPr>
        <w:numPr>
          <w:ilvl w:val="0"/>
          <w:numId w:val="5"/>
        </w:numPr>
        <w:ind w:left="720" w:hanging="360"/>
        <w:rPr>
          <w:u w:val="none"/>
        </w:rPr>
      </w:pPr>
      <w:hyperlink r:id="rId22">
        <w:r w:rsidDel="00000000" w:rsidR="00000000" w:rsidRPr="00000000">
          <w:rPr>
            <w:color w:val="1155cc"/>
            <w:u w:val="single"/>
            <w:rtl w:val="0"/>
          </w:rPr>
          <w:t xml:space="preserve">An equation for global energy efficiency gains in the long-run</w:t>
        </w:r>
      </w:hyperlink>
      <w:r w:rsidDel="00000000" w:rsidR="00000000" w:rsidRPr="00000000">
        <w:rPr>
          <w:rtl w:val="0"/>
        </w:rPr>
      </w:r>
    </w:p>
    <w:p w:rsidR="00000000" w:rsidDel="00000000" w:rsidP="00000000" w:rsidRDefault="00000000" w:rsidRPr="00000000" w14:paraId="0000005A">
      <w:pPr>
        <w:numPr>
          <w:ilvl w:val="0"/>
          <w:numId w:val="5"/>
        </w:numPr>
        <w:ind w:left="720" w:hanging="360"/>
        <w:rPr>
          <w:u w:val="none"/>
        </w:rPr>
      </w:pPr>
      <w:hyperlink r:id="rId23">
        <w:r w:rsidDel="00000000" w:rsidR="00000000" w:rsidRPr="00000000">
          <w:rPr>
            <w:color w:val="1155cc"/>
            <w:u w:val="single"/>
            <w:rtl w:val="0"/>
          </w:rPr>
          <w:t xml:space="preserve">Maths en classe : la confiance en soi, une clé de la réussite ?</w:t>
        </w:r>
      </w:hyperlink>
      <w:r w:rsidDel="00000000" w:rsidR="00000000" w:rsidRPr="00000000">
        <w:rPr>
          <w:rtl w:val="0"/>
        </w:rPr>
      </w:r>
    </w:p>
    <w:p w:rsidR="00000000" w:rsidDel="00000000" w:rsidP="00000000" w:rsidRDefault="00000000" w:rsidRPr="00000000" w14:paraId="0000005B">
      <w:pPr>
        <w:numPr>
          <w:ilvl w:val="0"/>
          <w:numId w:val="5"/>
        </w:numPr>
        <w:ind w:left="720" w:hanging="360"/>
        <w:rPr>
          <w:u w:val="none"/>
        </w:rPr>
      </w:pPr>
      <w:hyperlink r:id="rId24">
        <w:r w:rsidDel="00000000" w:rsidR="00000000" w:rsidRPr="00000000">
          <w:rPr>
            <w:color w:val="1155cc"/>
            <w:u w:val="single"/>
            <w:rtl w:val="0"/>
          </w:rPr>
          <w:t xml:space="preserve">The Water, Energy, and Food Security Nexus in Asia and the Pacific</w:t>
        </w:r>
      </w:hyperlink>
      <w:r w:rsidDel="00000000" w:rsidR="00000000" w:rsidRPr="00000000">
        <w:rPr>
          <w:rtl w:val="0"/>
        </w:rPr>
      </w:r>
    </w:p>
    <w:p w:rsidR="00000000" w:rsidDel="00000000" w:rsidP="00000000" w:rsidRDefault="00000000" w:rsidRPr="00000000" w14:paraId="0000005C">
      <w:pPr>
        <w:numPr>
          <w:ilvl w:val="0"/>
          <w:numId w:val="5"/>
        </w:numPr>
        <w:ind w:left="720" w:hanging="360"/>
        <w:rPr>
          <w:u w:val="none"/>
        </w:rPr>
      </w:pPr>
      <w:hyperlink r:id="rId25">
        <w:r w:rsidDel="00000000" w:rsidR="00000000" w:rsidRPr="00000000">
          <w:rPr>
            <w:color w:val="1155cc"/>
            <w:u w:val="single"/>
            <w:rtl w:val="0"/>
          </w:rPr>
          <w:t xml:space="preserve">Aligning the Energy Transition with the Sustainable Development Goals</w:t>
        </w:r>
      </w:hyperlink>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hyperlink r:id="rId26">
        <w:r w:rsidDel="00000000" w:rsidR="00000000" w:rsidRPr="00000000">
          <w:rPr>
            <w:color w:val="1155cc"/>
            <w:u w:val="single"/>
            <w:rtl w:val="0"/>
          </w:rPr>
          <w:t xml:space="preserve">Climat : des microalgues virtuelles pour mieux comprendre le rôle de l’océan</w:t>
        </w:r>
      </w:hyperlink>
      <w:r w:rsidDel="00000000" w:rsidR="00000000" w:rsidRPr="00000000">
        <w:rPr>
          <w:rtl w:val="0"/>
        </w:rPr>
      </w:r>
    </w:p>
    <w:p w:rsidR="00000000" w:rsidDel="00000000" w:rsidP="00000000" w:rsidRDefault="00000000" w:rsidRPr="00000000" w14:paraId="0000005E">
      <w:pPr>
        <w:numPr>
          <w:ilvl w:val="0"/>
          <w:numId w:val="5"/>
        </w:numPr>
        <w:ind w:left="720" w:hanging="360"/>
        <w:rPr>
          <w:u w:val="none"/>
        </w:rPr>
      </w:pPr>
      <w:hyperlink r:id="rId27">
        <w:r w:rsidDel="00000000" w:rsidR="00000000" w:rsidRPr="00000000">
          <w:rPr>
            <w:color w:val="1155cc"/>
            <w:u w:val="single"/>
            <w:rtl w:val="0"/>
          </w:rPr>
          <w:t xml:space="preserve">Université de Mons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ved.fr/fiche/ressource/variabilite-climatique-comment-laborder-par-les-donnees" TargetMode="External"/><Relationship Id="rId22" Type="http://schemas.openxmlformats.org/officeDocument/2006/relationships/hyperlink" Target="https://hal.science/cea-05086843" TargetMode="External"/><Relationship Id="rId21" Type="http://schemas.openxmlformats.org/officeDocument/2006/relationships/hyperlink" Target="https://theconversation.com/lintelligence-numerique-peut-aider-a-reduire-les-ges-et-les-aggraver-voici-comment-jongler-avec-ce-paradoxe-265801" TargetMode="External"/><Relationship Id="rId24" Type="http://schemas.openxmlformats.org/officeDocument/2006/relationships/hyperlink" Target="https://library.oapen.org/handle/20.500.12657/92656" TargetMode="External"/><Relationship Id="rId23" Type="http://schemas.openxmlformats.org/officeDocument/2006/relationships/hyperlink" Target="https://theconversation.com/maths-en-classe-la-confiance-en-soi-une-cle-de-la-reussite-2747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theconversation.com/climat-des-microalgues-virtuelles-pour-mieux-comprendre-le-role-de-locean-202076" TargetMode="External"/><Relationship Id="rId25" Type="http://schemas.openxmlformats.org/officeDocument/2006/relationships/hyperlink" Target="https://library.oapen.org/handle/20.500.12657/92320" TargetMode="External"/><Relationship Id="rId27" Type="http://schemas.openxmlformats.org/officeDocument/2006/relationships/hyperlink" Target="https://fr.wikipedia.org/wiki/Universit%C3%A9_de_Mon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www.uved.fr/fileadmin/user_upload/Documents/pdf/Fiches/Fiche_Mathematiques_et_TEDS.pdf" TargetMode="External"/><Relationship Id="rId10" Type="http://schemas.openxmlformats.org/officeDocument/2006/relationships/image" Target="media/image5.png"/><Relationship Id="rId13" Type="http://schemas.openxmlformats.org/officeDocument/2006/relationships/hyperlink" Target="https://www.uved.fr/fiche/ressource/les-limites-du-recyclage-face-a-la-croissance-synthese" TargetMode="External"/><Relationship Id="rId12" Type="http://schemas.openxmlformats.org/officeDocument/2006/relationships/hyperlink" Target="https://www.uved.fr/fiche/ressource/lequation-de-kaya" TargetMode="External"/><Relationship Id="rId15" Type="http://schemas.openxmlformats.org/officeDocument/2006/relationships/hyperlink" Target="https://www.uved.fr/fiche/ressource/evaluation-des-modeles-climatiques" TargetMode="External"/><Relationship Id="rId14" Type="http://schemas.openxmlformats.org/officeDocument/2006/relationships/hyperlink" Target="https://www.uved.fr/fiche/ressource/les-modeles-de-climat" TargetMode="External"/><Relationship Id="rId17" Type="http://schemas.openxmlformats.org/officeDocument/2006/relationships/hyperlink" Target="https://www.uved.fr/fiche/ressource/quantifier-la-contrainte-climatique" TargetMode="External"/><Relationship Id="rId16" Type="http://schemas.openxmlformats.org/officeDocument/2006/relationships/hyperlink" Target="https://www.uved.fr/fiche/ressource/les-scenarios-climatiques" TargetMode="External"/><Relationship Id="rId19" Type="http://schemas.openxmlformats.org/officeDocument/2006/relationships/hyperlink" Target="https://www.uved.fr/fiche/ressource/determiner-les-engagements-compatibles-avec-lobjectif-de-2c" TargetMode="External"/><Relationship Id="rId18" Type="http://schemas.openxmlformats.org/officeDocument/2006/relationships/hyperlink" Target="https://www.uved.fr/fiche/ressource/raccorder-au-reel-les-trajectoires-d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