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left"/>
      </w:pPr>
      <w:r>
        <w:rPr>
          <w:rFonts w:ascii="Arial" w:cs="Arial" w:eastAsia="Arial" w:hAnsi="Arial"/>
          <w:color w:val="5892A0"/>
          <w:sz w:val="28"/>
          <w:szCs w:val="28"/>
        </w:rPr>
        <w:t xml:space="preserve">PTP Group</w:t>
      </w:r>
    </w:p>
    <w:p>
      <w:pPr>
        <w:pBdr>
          <w:bottom w:val="single" w:color="004AAD" w:sz="6" w:space="8"/>
        </w:pBdr>
        <w:spacing w:after="40"/>
        <w:jc w:val="left"/>
      </w:pPr>
      <w:r>
        <w:rPr>
          <w:rFonts w:ascii="Arial" w:cs="Arial" w:eastAsia="Arial" w:hAnsi="Arial"/>
          <w:i/>
          <w:iCs/>
          <w:color w:val="5892A0"/>
          <w:sz w:val="22"/>
          <w:szCs w:val="22"/>
        </w:rPr>
        <w:t xml:space="preserve">People, Technology, Processes</w:t>
      </w:r>
    </w:p>
    <w:p>
      <w:pPr>
        <w:spacing w:after="80"/>
      </w:pPr>
    </w:p>
    <w:p>
      <w:pPr>
        <w:spacing w:after="8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04AAD"/>
          <w:sz w:val="52"/>
          <w:szCs w:val="52"/>
        </w:rPr>
        <w:t xml:space="preserve">ACC MCP Deployment Guide</w:t>
      </w:r>
    </w:p>
    <w:p>
      <w:pPr>
        <w:spacing w:after="120"/>
        <w:jc w:val="left"/>
      </w:pPr>
      <w:r>
        <w:rPr>
          <w:rFonts w:ascii="Arial" w:cs="Arial" w:eastAsia="Arial" w:hAnsi="Arial"/>
          <w:color w:val="0F1035"/>
          <w:sz w:val="32"/>
          <w:szCs w:val="32"/>
        </w:rPr>
        <w:t xml:space="preserve">Setting Up in Client Accounts</w:t>
      </w:r>
    </w:p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5892A0"/>
          <w:sz w:val="22"/>
          <w:szCs w:val="22"/>
        </w:rPr>
        <w:t xml:space="preserve">Version 1.0</w:t>
      </w:r>
    </w:p>
    <w:p>
      <w:pPr>
        <w:spacing w:after="120"/>
      </w:pPr>
      <w:r>
        <w:rPr>
          <w:rFonts w:ascii="Arial" w:cs="Arial" w:eastAsia="Arial" w:hAnsi="Arial"/>
          <w:color w:val="5892A0"/>
          <w:sz w:val="22"/>
          <w:szCs w:val="22"/>
        </w:rPr>
        <w:t xml:space="preserve">March 2026</w:t>
      </w:r>
    </w:p>
    <w:p>
      <w:pPr>
        <w:spacing w:after="120"/>
      </w:pPr>
      <w:r>
        <w:rPr>
          <w:rFonts w:ascii="Arial" w:cs="Arial" w:eastAsia="Arial" w:hAnsi="Arial"/>
          <w:color w:val="5892A0"/>
          <w:sz w:val="22"/>
          <w:szCs w:val="22"/>
        </w:rPr>
        <w:t xml:space="preserve">www.ptpgroup.com.au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004AAD"/>
          <w:sz w:val="20"/>
          <w:szCs w:val="20"/>
        </w:rPr>
        <w:t xml:space="preserve">CONFIDENTIAL</w:t>
      </w:r>
    </w:p>
    <w:p>
      <w:pPr>
        <w:spacing w:after="12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This document contains proprietary information belonging to PTP Group. Do not distribute without permission.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PTP ACC MCP Server is an automation tool that connects Claude AI to Autodesk Construction Cloud (ACC). It enables automated project setup through a spreadsheet-driven workflow, configuring: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accounts and project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Folder structure for document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Folder permissions for each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project issues and tasks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typically saves 2–3 days of manual configuration work per project and ensures consistency across all client engagements.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2.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deploying to a client account, ensure you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APS Developer Account with a registered application (Client ID and Client Secret)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Account (SSA) with a generated .pem private key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22 or later installed on your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ptp-acc-mcp project cloned and dependencies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.env file configured with your credentials (see Section 6)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3. How Authentication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a dual authentication model to interact with ACC APIs: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035"/>
          <w:sz w:val="26"/>
          <w:szCs w:val="26"/>
        </w:rPr>
        <w:t xml:space="preserve">3.1 Two-Legged OAuth (Client Credentials)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for Account Admin operations such as adding users to the ACC hub. This is an app-level token obtained using the Client ID and Client Secret.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this to work, the app’s Client ID must be registered as a Custom Integration in the target ACC account. Without this, the API returns a 403 error.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035"/>
          <w:sz w:val="26"/>
          <w:szCs w:val="26"/>
        </w:rPr>
        <w:t xml:space="preserve">3.2 Service Account Authentication (SSA)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for project-level operations including folder creation, permission management, and issue creation. The SSA acts as a “user” with a JWT-based authentication flow.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SSA must be added as a member of the target account with Account Admin role. It authenticates using a private key (.pem file) to sign JWT assertions.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2-Legged OAuth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SSA Authentication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Admin (add users to hub)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operations (folders, permissions, issues)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 + Client Secret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SSA ID + .pem private key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Required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Integration in client ACC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SSA added as Account Admin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4. Connecting to a Client’s ACC Account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to connect the PTP MCP server to a new client’s ACC account: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creates a Custom Integration. </w:t>
      </w:r>
      <w:r>
        <w:rPr>
          <w:rFonts w:ascii="Arial" w:cs="Arial" w:eastAsia="Arial" w:hAnsi="Arial"/>
          <w:sz w:val="22"/>
          <w:szCs w:val="22"/>
        </w:rPr>
        <w:t xml:space="preserve">The client’s ACC administrator navigates to Account Admin → Settings → Custom Integrations → Add Custom Integration. They enter PTP’s application name and Client ID. This authorises PTP’s 2-legged token to operate against their account.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the SSA to the client’s account. </w:t>
      </w:r>
      <w:r>
        <w:rPr>
          <w:rFonts w:ascii="Arial" w:cs="Arial" w:eastAsia="Arial" w:hAnsi="Arial"/>
          <w:sz w:val="22"/>
          <w:szCs w:val="22"/>
        </w:rPr>
        <w:t xml:space="preserve">Either the client invites the SSA user via their Autodesk email, or PTP uses the newly-authorised 2-legged token to add the SSA via the Account Admin API. The SSA must be assigned the Account Admin role.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configuration. </w:t>
      </w:r>
      <w:r>
        <w:rPr>
          <w:rFonts w:ascii="Arial" w:cs="Arial" w:eastAsia="Arial" w:hAnsi="Arial"/>
          <w:sz w:val="22"/>
          <w:szCs w:val="22"/>
        </w:rPr>
        <w:t xml:space="preserve">Change ACC_ACCOUNT_ID in the .env file to the client’s account UUID. Update ACC_REGION and ACC_ADS_REGION if the client is in a different region (e.g., US/EMEA instead of AUS/APAC).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connection. </w:t>
      </w:r>
      <w:r>
        <w:rPr>
          <w:rFonts w:ascii="Arial" w:cs="Arial" w:eastAsia="Arial" w:hAnsi="Arial"/>
          <w:sz w:val="22"/>
          <w:szCs w:val="22"/>
        </w:rPr>
        <w:t xml:space="preserve">Run the environment check script to confirm all variables are set, then test with a dry-run or MCP tool call: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F1035"/>
          <w:sz w:val="20"/>
          <w:szCs w:val="20"/>
        </w:rPr>
        <w:t xml:space="preserve">node check-env.js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F1035"/>
          <w:sz w:val="20"/>
          <w:szCs w:val="20"/>
        </w:rPr>
        <w:t xml:space="preserve">node project-setup.js template.xlsx &lt;projectId&gt; --dry-run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5. Running a Project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standard workflow for setting up a new client project: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the PTP-Project-Setup-Template.xlsx to the client after proposal signing.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client fills in the Users, Folders, Permissions, and Issues tabs.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PTP reviews the returned spreadsheet for completeness and accuracy.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a dry-run to preview what will be created: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F1035"/>
          <w:sz w:val="20"/>
          <w:szCs w:val="20"/>
        </w:rPr>
        <w:t xml:space="preserve">node project-setup.js client-data.xlsx &lt;projectId&gt; --dry-run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 the dry-run output. If everything looks correct, run live: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F1035"/>
          <w:sz w:val="20"/>
          <w:szCs w:val="20"/>
        </w:rPr>
        <w:t xml:space="preserve">node project-setup.js client-data.xlsx &lt;projectId&gt;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in ACC that users, folders, permissions, and issues are created correctly.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validates all spreadsheet data before making any API calls. If validation errors are found, it will report them and exit without making changes.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6. Configuration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configuration is stored in the .env file. The following variables must be set: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26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APS_CLIENT_ID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 application client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PEEFWytT...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APS_CLIENT_SECRET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 application client 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ITSpCFI3...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SSA_ID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GMR2KXZF...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SSA_KEY_ID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SSA key 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8a41f5f8-...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SSA_KEY_PATH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path to .pem private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/path/to/key.pem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ACC_ACCOUNT_ID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ACC account 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4253b673-...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ACC_REGION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region: AUS, US, or EMEA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ACC_ADS_REGION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region header: APAC, US, or EMEA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APAC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7. MCP Tools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MCP server exposes 12 tools that Claude can use to interact with ACC: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getProjects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accessible accounts and their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getFolderContents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folder hierarchy and file 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createFolder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folders within a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moveFolder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folders between parent folders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getProjectUsers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members of a project with roles and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addAccountUser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user to the ACC hub (account level)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addProjectUser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user to a specific project with role and product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getFolderPermissions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permission assignments on a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setFolderPermissions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folder access levels (View, Download, Upload, Edit, Control)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getIssueTypes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configured issue types and subtypes for a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getIssues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issues in a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createIssue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issue with type, assignee, and due date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8. Switching Between Clients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moving between client accounts: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ACC_ACCOUNT_ID in .env to the target client’s account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ACC_REGION and ACC_ADS_REGION if the client is in a different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run --dry-run first when switching to a new account to verify connectivity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an internal record of client account IDs and project IDs for reference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1035"/>
          <w:sz w:val="26"/>
          <w:szCs w:val="26"/>
        </w:rPr>
        <w:t xml:space="preserve">Future Enhancement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planned improvement is to support passing the account ID as a CLI argument rather than requiring .env changes: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F1035"/>
          <w:sz w:val="20"/>
          <w:szCs w:val="20"/>
        </w:rPr>
        <w:t xml:space="preserve">node project-setup.js data.xlsx --account &lt;accountId&gt; --project &lt;projectId&gt;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9.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Common errors and their resolutions: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A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Only support 2 legged access token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Integration not set up in client’s ACC account. Ask the client’s admin to add it.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not found in project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hasn’t been added to the project yet, or the email doesn’t match exactly.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Given actions PUBLISH is invalid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 uses UPLOAD instead of PUBLISH. This is an ACC vs BIM 360 API difference.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assignedTo must be a valid autodesk 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require the user’s autodeskId, not their project member UUID.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the SSA has Account Admin role in the target account.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Cannot remove user access from Insight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updating user products, include ALL existing products — not just the one being changed.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AAD"/>
          <w:sz w:val="32"/>
          <w:szCs w:val="32"/>
        </w:rPr>
        <w:t xml:space="preserve">10. Security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commit .env or .pem files to version control (covered by .gitignore)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Rotate the APS client secret periodically via the Autodesk developer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SSA has Account Admin access — treat its credentials like an admin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working in a client’s account, always double-check ACC_ACCOUNT_ID before running live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use --dry-run first when setting up a new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project-setup.js script validates all input before making any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permissions on .env and .pem should be restricted to owner-only (chmod 600)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5892A0"/>
          <w:sz w:val="22"/>
          <w:szCs w:val="22"/>
        </w:rPr>
        <w:t xml:space="preserve">For questions or issues, contact the PTP development team.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E9F8" w:sz="2" w:space="4"/>
      </w:pBdr>
      <w:jc w:val="center"/>
    </w:pPr>
    <w:r>
      <w:rPr>
        <w:rFonts w:ascii="Arial" w:cs="Arial" w:eastAsia="Arial" w:hAnsi="Arial"/>
        <w:color w:val="5892A0"/>
        <w:sz w:val="16"/>
        <w:szCs w:val="16"/>
      </w:rPr>
      <w:t xml:space="preserve">Page </w:t>
    </w:r>
    <w:r>
      <w:rPr>
        <w:rFonts w:ascii="Arial" w:cs="Arial" w:eastAsia="Arial" w:hAnsi="Arial"/>
        <w:color w:val="5892A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E9F8" w:sz="2" w:space="4"/>
      </w:pBdr>
      <w:jc w:val="right"/>
    </w:pPr>
    <w:r>
      <w:rPr>
        <w:rFonts w:ascii="Arial" w:cs="Arial" w:eastAsia="Arial" w:hAnsi="Arial"/>
        <w:i/>
        <w:iCs/>
        <w:color w:val="5892A0"/>
        <w:sz w:val="16"/>
        <w:szCs w:val="16"/>
      </w:rPr>
      <w:t xml:space="preserve">PTP Group — ACC MCP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AA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0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2026-03-09T09:33:54.263Z</dcterms:created>
  <dcterms:modified xsi:type="dcterms:W3CDTF">2026-03-09T09:33:54.265Z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