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Calibri" w:cs="Calibri" w:eastAsia="Calibri" w:hAnsi="Calibri"/>
          <w:b/>
          <w:bCs/>
          <w:color w:val="5A5A5A"/>
          <w:sz w:val="17"/>
          <w:szCs w:val="17"/>
        </w:rPr>
        <w:t xml:space="preserve">AI AND LEGAL RESEARCH  ·  WEEK 2</w:t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111111"/>
          <w:sz w:val="40"/>
          <w:szCs w:val="40"/>
        </w:rPr>
        <w:t xml:space="preserve">Week 2: Confidentiality Issues and Advanced Prompting</w:t>
      </w:r>
    </w:p>
    <w:p>
      <w:pPr>
        <w:spacing w:after="80" w:before="0"/>
      </w:pPr>
    </w:p>
    <w:p>
      <w:pPr>
        <w:pStyle w:val="Heading2"/>
        <w:keepNext/>
        <w:pBdr>
          <w:bottom w:val="single" w:color="111111" w:sz="12" w:space="3"/>
        </w:pBdr>
        <w:spacing w:after="100" w:before="240"/>
      </w:pPr>
      <w:r>
        <w:rPr>
          <w:rFonts w:ascii="Calibri" w:cs="Calibri" w:eastAsia="Calibri" w:hAnsi="Calibri"/>
          <w:b/>
          <w:bCs/>
          <w:color w:val="111111"/>
          <w:sz w:val="26"/>
          <w:szCs w:val="26"/>
        </w:rPr>
        <w:t xml:space="preserve">Big-picture tips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111111" w:sz="6"/>
              <w:left w:val="single" w:color="111111" w:sz="6"/>
              <w:bottom w:val="single" w:color="111111" w:sz="6"/>
              <w:right w:val="single" w:color="111111" w:sz="6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keepNext/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  Need to know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Give a tool only the facts the task requires.</w:t>
            </w:r>
          </w:p>
        </w:tc>
        <w:tc>
          <w:tcPr>
            <w:tcW w:type="dxa" w:w="3120"/>
            <w:tcBorders>
              <w:top w:val="single" w:color="111111" w:sz="6"/>
              <w:left w:val="single" w:color="111111" w:sz="6"/>
              <w:bottom w:val="single" w:color="111111" w:sz="6"/>
              <w:right w:val="single" w:color="111111" w:sz="6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keepNext/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  Authorized tools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Learn which tools your organization approves, and for which purposes.</w:t>
            </w:r>
          </w:p>
        </w:tc>
        <w:tc>
          <w:tcPr>
            <w:tcW w:type="dxa" w:w="3120"/>
            <w:tcBorders>
              <w:top w:val="single" w:color="111111" w:sz="6"/>
              <w:left w:val="single" w:color="111111" w:sz="6"/>
              <w:bottom w:val="single" w:color="111111" w:sz="6"/>
              <w:right w:val="single" w:color="111111" w:sz="6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keepNext/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  Document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Record what you entered and what you checked, so you can defend your actions.</w:t>
            </w:r>
          </w:p>
        </w:tc>
      </w:tr>
    </w:tbl>
    <w:p>
      <w:pPr>
        <w:pStyle w:val="Heading2"/>
        <w:keepNext/>
        <w:pBdr>
          <w:bottom w:val="single" w:color="111111" w:sz="12" w:space="3"/>
        </w:pBdr>
        <w:spacing w:after="100" w:before="24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  <w:shd w:fill="111111" w:color="auto" w:val="clear"/>
        </w:rPr>
        <w:t xml:space="preserve"> 1 </w:t>
      </w:r>
      <w:r>
        <w:rPr>
          <w:rFonts w:ascii="Calibri" w:cs="Calibri" w:eastAsia="Calibri" w:hAnsi="Calibri"/>
        </w:rPr>
        <w:t xml:space="preserve">  </w:t>
      </w:r>
      <w:r>
        <w:rPr>
          <w:rFonts w:ascii="Calibri" w:cs="Calibri" w:eastAsia="Calibri" w:hAnsi="Calibri"/>
          <w:b/>
          <w:bCs/>
          <w:color w:val="111111"/>
          <w:sz w:val="26"/>
          <w:szCs w:val="26"/>
        </w:rPr>
        <w:t xml:space="preserve">The rule is reasonable efforts</w:t>
      </w:r>
      <w:r>
        <w:rPr>
          <w:rFonts w:ascii="Calibri" w:cs="Calibri" w:eastAsia="Calibri" w:hAnsi="Calibri"/>
          <w:color w:val="5A5A5A"/>
          <w:sz w:val="16"/>
          <w:szCs w:val="16"/>
        </w:rPr>
        <w:t xml:space="preserve">    RULE 1.6</w:t>
      </w:r>
    </w:p>
    <w:p>
      <w:pPr>
        <w:pBdr>
          <w:left w:val="single" w:color="111111" w:sz="24" w:space="8"/>
        </w:pBdr>
        <w:spacing w:after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“A lawyer shall make reasonable efforts to prevent the inadvertent or unauthorized disclosure of, or unauthorized access to, information relating to the representation of a client.”</w:t>
      </w:r>
    </w:p>
    <w:p>
      <w:pPr>
        <w:spacing w:after="120" w:before="0"/>
      </w:pPr>
      <w:r>
        <w:rPr>
          <w:rFonts w:ascii="Calibri" w:cs="Calibri" w:eastAsia="Calibri" w:hAnsi="Calibri"/>
          <w:color w:val="5A5A5A"/>
          <w:sz w:val="17"/>
          <w:szCs w:val="17"/>
        </w:rPr>
        <w:t xml:space="preserve">Model Rules of Pro. Conduct r. 1.6(c) (Am. Bar Ass’n 2023). Most states adopt this language in their own rules of professional conduct, sometimes under a different subsection letter, so check your state’s version.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111111" w:sz="6"/>
              <w:left w:val="single" w:color="111111" w:sz="6"/>
              <w:bottom w:val="single" w:color="111111" w:sz="6"/>
              <w:right w:val="single" w:color="111111" w:sz="6"/>
            </w:tcBorders>
            <w:shd w:fill="F2F2F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Data sensitivity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A5A5A"/>
                <w:sz w:val="19"/>
                <w:szCs w:val="19"/>
              </w:rPr>
              <w:t xml:space="preserve">How much harm follows if this gets out?</w:t>
            </w:r>
          </w:p>
        </w:tc>
        <w:tc>
          <w:tcPr>
            <w:tcW w:type="dxa" w:w="3120"/>
            <w:tcBorders>
              <w:top w:val="single" w:color="111111" w:sz="6"/>
              <w:left w:val="single" w:color="111111" w:sz="6"/>
              <w:bottom w:val="single" w:color="111111" w:sz="6"/>
              <w:right w:val="single" w:color="111111" w:sz="6"/>
            </w:tcBorders>
            <w:shd w:fill="F2F2F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sz w:val="44"/>
                <w:szCs w:val="44"/>
              </w:rPr>
              <w:t xml:space="preserve">⚖</w:t>
            </w:r>
          </w:p>
        </w:tc>
        <w:tc>
          <w:tcPr>
            <w:tcW w:type="dxa" w:w="3120"/>
            <w:tcBorders>
              <w:top w:val="single" w:color="111111" w:sz="6"/>
              <w:left w:val="single" w:color="111111" w:sz="6"/>
              <w:bottom w:val="single" w:color="111111" w:sz="6"/>
              <w:right w:val="single" w:color="111111" w:sz="6"/>
            </w:tcBorders>
            <w:shd w:fill="F2F2F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Tool security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A5A5A"/>
                <w:sz w:val="19"/>
                <w:szCs w:val="19"/>
              </w:rPr>
              <w:t xml:space="preserve">Where does the data go, and who can see it?</w:t>
            </w:r>
          </w:p>
        </w:tc>
      </w:tr>
    </w:tbl>
    <w:p>
      <w:pPr>
        <w:spacing w:after="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Comment 18 makes the standard a balance: the more sensitive the information, the more secure the tool has to be.</w:t>
      </w:r>
    </w:p>
    <w:p>
      <w:pPr>
        <w:pStyle w:val="Heading2"/>
        <w:keepNext/>
        <w:pBdr>
          <w:bottom w:val="single" w:color="111111" w:sz="12" w:space="3"/>
        </w:pBdr>
        <w:spacing w:after="100" w:before="24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  <w:shd w:fill="111111" w:color="auto" w:val="clear"/>
        </w:rPr>
        <w:t xml:space="preserve"> 2 </w:t>
      </w:r>
      <w:r>
        <w:rPr>
          <w:rFonts w:ascii="Calibri" w:cs="Calibri" w:eastAsia="Calibri" w:hAnsi="Calibri"/>
        </w:rPr>
        <w:t xml:space="preserve">  </w:t>
      </w:r>
      <w:r>
        <w:rPr>
          <w:rFonts w:ascii="Calibri" w:cs="Calibri" w:eastAsia="Calibri" w:hAnsi="Calibri"/>
          <w:b/>
          <w:bCs/>
          <w:color w:val="111111"/>
          <w:sz w:val="26"/>
          <w:szCs w:val="26"/>
        </w:rPr>
        <w:t xml:space="preserve">What Opinion 512 adds for AI</w:t>
      </w:r>
      <w:r>
        <w:rPr>
          <w:rFonts w:ascii="Calibri" w:cs="Calibri" w:eastAsia="Calibri" w:hAnsi="Calibri"/>
          <w:color w:val="5A5A5A"/>
          <w:sz w:val="16"/>
          <w:szCs w:val="16"/>
        </w:rPr>
        <w:t xml:space="preserve">    ABA FORMAL OP. 512 (2024)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111111" w:sz="6"/>
              <w:left w:val="single" w:color="111111" w:sz="6"/>
              <w:bottom w:val="single" w:color="111111" w:sz="6"/>
              <w:right w:val="single" w:color="111111" w:sz="6"/>
            </w:tcBorders>
            <w:shd w:fill="F2F2F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keepNext/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Before anything goes in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Evaluate the disclosure risk for this client, this matter, and this tool.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Read the tool’s terms of use and privacy policy, or ask someone who has.</w:t>
            </w:r>
          </w:p>
        </w:tc>
        <w:tc>
          <w:tcPr>
            <w:tcW w:type="dxa" w:w="4680"/>
            <w:tcBorders>
              <w:top w:val="single" w:color="111111" w:sz="6"/>
              <w:left w:val="single" w:color="111111" w:sz="6"/>
              <w:bottom w:val="single" w:color="111111" w:sz="6"/>
              <w:right w:val="single" w:color="111111" w:sz="6"/>
            </w:tcBorders>
            <w:shd w:fill="F2F2F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keepNext/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When consent is required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 self-learning tool can surface one client’s information in another user’s output, so it needs the client’s informed consent first.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 boilerplate clause in an engagement letter is not informed consent.</w:t>
            </w:r>
          </w:p>
        </w:tc>
      </w:tr>
    </w:tbl>
    <w:p>
      <w:pPr>
        <w:pStyle w:val="Heading2"/>
        <w:keepNext/>
        <w:pBdr>
          <w:bottom w:val="single" w:color="111111" w:sz="12" w:space="3"/>
        </w:pBdr>
        <w:spacing w:after="100" w:before="24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  <w:shd w:fill="111111" w:color="auto" w:val="clear"/>
        </w:rPr>
        <w:t xml:space="preserve"> 3 </w:t>
      </w:r>
      <w:r>
        <w:rPr>
          <w:rFonts w:ascii="Calibri" w:cs="Calibri" w:eastAsia="Calibri" w:hAnsi="Calibri"/>
        </w:rPr>
        <w:t xml:space="preserve">  </w:t>
      </w:r>
      <w:r>
        <w:rPr>
          <w:rFonts w:ascii="Calibri" w:cs="Calibri" w:eastAsia="Calibri" w:hAnsi="Calibri"/>
          <w:b/>
          <w:bCs/>
          <w:color w:val="111111"/>
          <w:sz w:val="26"/>
          <w:szCs w:val="26"/>
        </w:rPr>
        <w:t xml:space="preserve">Confidential means more than names</w:t>
      </w:r>
      <w:r>
        <w:rPr>
          <w:rFonts w:ascii="Calibri" w:cs="Calibri" w:eastAsia="Calibri" w:hAnsi="Calibri"/>
          <w:color w:val="5A5A5A"/>
          <w:sz w:val="16"/>
          <w:szCs w:val="16"/>
        </w:rPr>
        <w:t xml:space="preserve">    RULE 1.6(A)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111111" w:sz="6"/>
              <w:left w:val="single" w:color="111111" w:sz="6"/>
              <w:bottom w:val="single" w:color="111111" w:sz="6"/>
              <w:right w:val="single" w:color="111111" w:sz="6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keepNext/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 just names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Rule 1.6 covers all information relating to the representation. A specific enough prompt identifies the matter on its own.</w:t>
            </w:r>
          </w:p>
        </w:tc>
        <w:tc>
          <w:tcPr>
            <w:tcW w:type="dxa" w:w="3120"/>
            <w:tcBorders>
              <w:top w:val="single" w:color="111111" w:sz="6"/>
              <w:left w:val="single" w:color="111111" w:sz="6"/>
              <w:bottom w:val="single" w:color="111111" w:sz="6"/>
              <w:right w:val="single" w:color="111111" w:sz="6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keepNext/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Internal information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Financial figures, draft contracts, internal analysis, and business plans must remain confidential even with no client named.</w:t>
            </w:r>
          </w:p>
        </w:tc>
        <w:tc>
          <w:tcPr>
            <w:tcW w:type="dxa" w:w="3120"/>
            <w:tcBorders>
              <w:top w:val="single" w:color="111111" w:sz="6"/>
              <w:left w:val="single" w:color="111111" w:sz="6"/>
              <w:bottom w:val="single" w:color="111111" w:sz="6"/>
              <w:right w:val="single" w:color="111111" w:sz="6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keepNext/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Legal strategy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Settlement ranges, negotiating positions, and planned arguments reveal what the client intends to do.</w:t>
            </w:r>
          </w:p>
        </w:tc>
      </w:tr>
    </w:tbl>
    <w:p>
      <w:pPr>
        <w:spacing w:after="120" w:before="0"/>
      </w:pPr>
    </w:p>
    <w:p>
      <w:pPr>
        <w:pBdr>
          <w:top w:val="single" w:color="D9D9D9" w:sz="4" w:space="4"/>
        </w:pBdr>
        <w:spacing w:after="0" w:before="0"/>
      </w:pPr>
      <w:r>
        <w:rPr>
          <w:rFonts w:ascii="Calibri" w:cs="Calibri" w:eastAsia="Calibri" w:hAnsi="Calibri"/>
          <w:b/>
          <w:bCs/>
          <w:color w:val="5A5A5A"/>
          <w:sz w:val="16"/>
          <w:szCs w:val="16"/>
        </w:rPr>
        <w:t xml:space="preserve">Sources: </w:t>
      </w:r>
      <w:r>
        <w:rPr>
          <w:rFonts w:ascii="Calibri" w:cs="Calibri" w:eastAsia="Calibri" w:hAnsi="Calibri"/>
          <w:color w:val="5A5A5A"/>
          <w:sz w:val="16"/>
          <w:szCs w:val="16"/>
        </w:rPr>
        <w:t xml:space="preserve">Model Rules of Pro. Conduct r. 1.6 &amp; cmt. 18 (Am. Bar Ass’n 2023); ABA Comm. on Ethics &amp; Pro. Resp., Formal Op. 512 (2024).</w:t>
      </w:r>
    </w:p>
    <w:p>
      <w:r>
        <w:br w:type="page"/>
      </w:r>
    </w:p>
    <w:p>
      <w:pPr>
        <w:pStyle w:val="Heading2"/>
        <w:keepNext/>
        <w:pBdr>
          <w:bottom w:val="single" w:color="111111" w:sz="12" w:space="3"/>
        </w:pBdr>
        <w:spacing w:after="100" w:before="24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  <w:shd w:fill="111111" w:color="auto" w:val="clear"/>
        </w:rPr>
        <w:t xml:space="preserve"> 4 </w:t>
      </w:r>
      <w:r>
        <w:rPr>
          <w:rFonts w:ascii="Calibri" w:cs="Calibri" w:eastAsia="Calibri" w:hAnsi="Calibri"/>
        </w:rPr>
        <w:t xml:space="preserve">  </w:t>
      </w:r>
      <w:r>
        <w:rPr>
          <w:rFonts w:ascii="Calibri" w:cs="Calibri" w:eastAsia="Calibri" w:hAnsi="Calibri"/>
          <w:b/>
          <w:bCs/>
          <w:color w:val="111111"/>
          <w:sz w:val="26"/>
          <w:szCs w:val="26"/>
        </w:rPr>
        <w:t xml:space="preserve">Abstract and delete facts</w:t>
      </w:r>
      <w:r>
        <w:rPr>
          <w:rFonts w:ascii="Calibri" w:cs="Calibri" w:eastAsia="Calibri" w:hAnsi="Calibri"/>
          <w:color w:val="5A5A5A"/>
          <w:sz w:val="16"/>
          <w:szCs w:val="16"/>
        </w:rPr>
        <w:t xml:space="preserve">    SANITIZING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Deletion</w:t>
      </w:r>
      <w:r>
        <w:rPr>
          <w:rFonts w:ascii="Calibri" w:cs="Calibri" w:eastAsia="Calibri" w:hAnsi="Calibri"/>
          <w:sz w:val="22"/>
          <w:szCs w:val="22"/>
        </w:rPr>
        <w:t xml:space="preserve"> removes a fact.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Abstraction</w:t>
      </w:r>
      <w:r>
        <w:rPr>
          <w:rFonts w:ascii="Calibri" w:cs="Calibri" w:eastAsia="Calibri" w:hAnsi="Calibri"/>
          <w:sz w:val="22"/>
          <w:szCs w:val="22"/>
        </w:rPr>
        <w:t xml:space="preserve"> replaces the fact with a description that keeps what the legal analysis needs.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0"/>
        <w:gridCol w:w="5160"/>
      </w:tblGrid>
      <w:tr>
        <w:trPr>
          <w:cantSplit/>
          <w:tblHeader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111111" w:sz="6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A5A5A"/>
                <w:sz w:val="17"/>
                <w:szCs w:val="17"/>
              </w:rPr>
              <w:t xml:space="preserve">Identifying fact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111111" w:sz="6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A5A5A"/>
                <w:sz w:val="17"/>
                <w:szCs w:val="17"/>
              </w:rPr>
              <w:t xml:space="preserve"/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111111" w:sz="6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A5A5A"/>
                <w:sz w:val="17"/>
                <w:szCs w:val="17"/>
              </w:rPr>
              <w:t xml:space="preserve">Abstraction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A named company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→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“a manufacturing company”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A particular property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→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“a commercial property”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Precise financial figures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→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 representative range (“$1 to 10 million”), where the legal analysis stays the same</w:t>
            </w:r>
          </w:p>
        </w:tc>
      </w:tr>
    </w:tbl>
    <w:p>
      <w:pPr>
        <w:spacing w:after="160" w:before="0"/>
      </w:pPr>
    </w:p>
    <w:p>
      <w:pPr>
        <w:pBdr>
          <w:left w:val="single" w:color="111111" w:sz="36" w:space="10"/>
        </w:pBdr>
        <w:shd w:fill="F2F2F2" w:color="auto" w:val="clear"/>
        <w:spacing w:after="80" w:before="120" w:line="30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A tool needs </w:t>
      </w:r>
      <w:r>
        <w:rPr>
          <w:rFonts w:ascii="Calibri" w:cs="Calibri" w:eastAsia="Calibri" w:hAnsi="Calibri"/>
          <w:b/>
          <w:bCs/>
          <w:i/>
          <w:iCs/>
          <w:sz w:val="30"/>
          <w:szCs w:val="30"/>
        </w:rPr>
        <w:t xml:space="preserve">general facts</w:t>
      </w:r>
      <w:r>
        <w:rPr>
          <w:rFonts w:ascii="Calibri" w:cs="Calibri" w:eastAsia="Calibri" w:hAnsi="Calibri"/>
          <w:b/>
          <w:bCs/>
          <w:sz w:val="30"/>
          <w:szCs w:val="30"/>
        </w:rPr>
        <w:t xml:space="preserve"> related to the legal issue. It rarely needs the </w:t>
      </w:r>
      <w:r>
        <w:rPr>
          <w:rFonts w:ascii="Calibri" w:cs="Calibri" w:eastAsia="Calibri" w:hAnsi="Calibri"/>
          <w:b/>
          <w:bCs/>
          <w:i/>
          <w:iCs/>
          <w:sz w:val="30"/>
          <w:szCs w:val="30"/>
        </w:rPr>
        <w:t xml:space="preserve">identifying facts</w:t>
      </w:r>
      <w:r>
        <w:rPr>
          <w:rFonts w:ascii="Calibri" w:cs="Calibri" w:eastAsia="Calibri" w:hAnsi="Calibri"/>
          <w:b/>
          <w:bCs/>
          <w:sz w:val="30"/>
          <w:szCs w:val="30"/>
        </w:rPr>
        <w:t xml:space="preserve">.</w:t>
      </w:r>
    </w:p>
    <w:p>
      <w:pPr>
        <w:spacing w:after="0" w:before="0"/>
      </w:pPr>
      <w:r>
        <w:rPr>
          <w:rFonts w:ascii="Calibri" w:cs="Calibri" w:eastAsia="Calibri" w:hAnsi="Calibri"/>
          <w:color w:val="5A5A5A"/>
          <w:sz w:val="17"/>
          <w:szCs w:val="17"/>
        </w:rPr>
        <w:t xml:space="preserve">Examples and framing taken from Emily Pavuluri, </w:t>
      </w:r>
      <w:r>
        <w:rPr>
          <w:rFonts w:ascii="Calibri" w:cs="Calibri" w:eastAsia="Calibri" w:hAnsi="Calibri"/>
          <w:i/>
          <w:iCs/>
          <w:color w:val="5A5A5A"/>
          <w:sz w:val="17"/>
          <w:szCs w:val="17"/>
        </w:rPr>
        <w:t xml:space="preserve">Teaching AI-Augmented Legal Research</w:t>
      </w:r>
      <w:r>
        <w:rPr>
          <w:rFonts w:ascii="Calibri" w:cs="Calibri" w:eastAsia="Calibri" w:hAnsi="Calibri"/>
          <w:color w:val="5A5A5A"/>
          <w:sz w:val="17"/>
          <w:szCs w:val="17"/>
        </w:rPr>
        <w:t xml:space="preserve"> (Version 0.1, May 2026), an open teaching project, http://ailegalresearch.org/, licensed under CC BY-NC 4.0.</w:t>
      </w:r>
    </w:p>
    <w:p>
      <w:pPr>
        <w:pStyle w:val="Heading2"/>
        <w:keepNext/>
        <w:pBdr>
          <w:bottom w:val="single" w:color="111111" w:sz="12" w:space="3"/>
        </w:pBdr>
        <w:spacing w:after="100" w:before="24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  <w:shd w:fill="111111" w:color="auto" w:val="clear"/>
        </w:rPr>
        <w:t xml:space="preserve"> 5 </w:t>
      </w:r>
      <w:r>
        <w:rPr>
          <w:rFonts w:ascii="Calibri" w:cs="Calibri" w:eastAsia="Calibri" w:hAnsi="Calibri"/>
        </w:rPr>
        <w:t xml:space="preserve">  </w:t>
      </w:r>
      <w:r>
        <w:rPr>
          <w:rFonts w:ascii="Calibri" w:cs="Calibri" w:eastAsia="Calibri" w:hAnsi="Calibri"/>
          <w:b/>
          <w:bCs/>
          <w:color w:val="111111"/>
          <w:sz w:val="26"/>
          <w:szCs w:val="26"/>
        </w:rPr>
        <w:t xml:space="preserve">Advanced prompting tips</w:t>
      </w:r>
      <w:r>
        <w:rPr>
          <w:rFonts w:ascii="Calibri" w:cs="Calibri" w:eastAsia="Calibri" w:hAnsi="Calibri"/>
          <w:color w:val="5A5A5A"/>
          <w:sz w:val="16"/>
          <w:szCs w:val="16"/>
        </w:rPr>
        <w:t xml:space="preserve">    WORKING IN CHATGPT, CLAUDE, AND GEMINI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111111" w:sz="6"/>
              <w:left w:val="single" w:color="111111" w:sz="6"/>
              <w:bottom w:val="single" w:color="111111" w:sz="6"/>
              <w:right w:val="single" w:color="111111" w:sz="6"/>
            </w:tcBorders>
            <w:shd w:fill="F2F2F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keepNext/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Shift+Enter adds a line break.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Enter alone sends the prompt, so hold Shift to start a new line and lay out a multi-part prompt before you submit it.</w:t>
            </w:r>
          </w:p>
        </w:tc>
        <w:tc>
          <w:tcPr>
            <w:tcW w:type="dxa" w:w="4680"/>
            <w:tcBorders>
              <w:top w:val="single" w:color="111111" w:sz="6"/>
              <w:left w:val="single" w:color="111111" w:sz="6"/>
              <w:bottom w:val="single" w:color="111111" w:sz="6"/>
              <w:right w:val="single" w:color="111111" w:sz="6"/>
            </w:tcBorders>
            <w:shd w:fill="F2F2F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keepNext/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Stop and edit when you send too soon.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Click Stop, hover over your message, click the pencil (Edit), finish the prompt, and resubmit. A finished prompt saves tokens, because the platform re-reads the whole chat with every message.</w:t>
            </w:r>
          </w:p>
        </w:tc>
      </w:tr>
    </w:tbl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111111" w:sz="6"/>
              <w:left w:val="single" w:color="111111" w:sz="6"/>
              <w:bottom w:val="single" w:color="111111" w:sz="6"/>
              <w:right w:val="single" w:color="111111" w:sz="6"/>
            </w:tcBorders>
            <w:shd w:fill="F2F2F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keepNext/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Attach a document to one prompt.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 the paperclip or plus sign to attach a file for this thread only. Put only permanent reference material (a syllabus, a code, a template) in a custom GPT’s knowledge base.</w:t>
            </w:r>
          </w:p>
        </w:tc>
        <w:tc>
          <w:tcPr>
            <w:tcW w:type="dxa" w:w="4680"/>
            <w:tcBorders>
              <w:top w:val="single" w:color="111111" w:sz="6"/>
              <w:left w:val="single" w:color="111111" w:sz="6"/>
              <w:bottom w:val="single" w:color="111111" w:sz="6"/>
              <w:right w:val="single" w:color="111111" w:sz="6"/>
            </w:tcBorders>
            <w:shd w:fill="F2F2F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keepNext/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Rename the conversation.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Replace the auto-generated title with the subject, the task, and the date (“Civ Pro, jurisdiction outline, Oct 2026”) so you can find the chat months later.</w:t>
            </w:r>
          </w:p>
        </w:tc>
      </w:tr>
    </w:tbl>
    <w:p>
      <w:pPr>
        <w:spacing w:after="200" w:before="0"/>
      </w:pPr>
    </w:p>
    <w:p>
      <w:pPr>
        <w:pBdr>
          <w:top w:val="single" w:color="D9D9D9" w:sz="4" w:space="4"/>
        </w:pBdr>
        <w:spacing w:after="0" w:before="0"/>
      </w:pPr>
      <w:r>
        <w:rPr>
          <w:rFonts w:ascii="Calibri" w:cs="Calibri" w:eastAsia="Calibri" w:hAnsi="Calibri"/>
          <w:color w:val="5A5A5A"/>
          <w:sz w:val="16"/>
          <w:szCs w:val="16"/>
        </w:rPr>
        <w:t xml:space="preserve">Julie Tedjeske Crane, </w:t>
      </w:r>
      <w:r>
        <w:rPr>
          <w:rFonts w:ascii="Calibri" w:cs="Calibri" w:eastAsia="Calibri" w:hAnsi="Calibri"/>
          <w:i/>
          <w:iCs/>
          <w:color w:val="5A5A5A"/>
          <w:sz w:val="16"/>
          <w:szCs w:val="16"/>
        </w:rPr>
        <w:t xml:space="preserve">Week 2 Handout: Confidentiality Issues and Advanced Prompting</w:t>
      </w:r>
      <w:r>
        <w:rPr>
          <w:rFonts w:ascii="Calibri" w:cs="Calibri" w:eastAsia="Calibri" w:hAnsi="Calibri"/>
          <w:color w:val="5A5A5A"/>
          <w:sz w:val="16"/>
          <w:szCs w:val="16"/>
        </w:rPr>
        <w:t xml:space="preserve">, in </w:t>
      </w:r>
      <w:r>
        <w:rPr>
          <w:rFonts w:ascii="Calibri" w:cs="Calibri" w:eastAsia="Calibri" w:hAnsi="Calibri"/>
          <w:i/>
          <w:iCs/>
          <w:color w:val="5A5A5A"/>
          <w:sz w:val="16"/>
          <w:szCs w:val="16"/>
        </w:rPr>
        <w:t xml:space="preserve">AI and Legal Research: Teaching Materials</w:t>
      </w:r>
      <w:r>
        <w:rPr>
          <w:rFonts w:ascii="Calibri" w:cs="Calibri" w:eastAsia="Calibri" w:hAnsi="Calibri"/>
          <w:color w:val="5A5A5A"/>
          <w:sz w:val="16"/>
          <w:szCs w:val="16"/>
        </w:rPr>
        <w:t xml:space="preserve"> (2026), https://jmtedjeske-crane.github.io/ (licensed under CC BY-NC 4.0).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■"/>
      <w:lvlJc w:val="left"/>
      <w:pPr>
        <w:ind w:left="320" w:hanging="240"/>
      </w:pPr>
      <w:rPr>
        <w:sz w:val="14"/>
        <w:szCs w:val="1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2 Handout: Confidentiality Issues and Advanced Prompting</dc:title>
  <dc:creator>Julie Tedjeske Crane</dc:creator>
  <cp:lastModifiedBy>Un-named</cp:lastModifiedBy>
  <cp:revision>1</cp:revision>
  <dcterms:created xsi:type="dcterms:W3CDTF">2026-10-26T01:23:32.645Z</dcterms:created>
  <dcterms:modified xsi:type="dcterms:W3CDTF">2026-10-26T01:23:32.651Z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