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A5A5A"/>
          <w:sz w:val="17"/>
          <w:szCs w:val="17"/>
        </w:rPr>
        <w:t xml:space="preserve">AI AND LEGAL RESEARCH  ·  WEEK 2</w:t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Week 2: Confidentiality Issues and Advanced Prompting</w:t>
      </w:r>
    </w:p>
    <w:p>
      <w:pPr>
        <w:spacing w:after="80" w:before="0"/>
      </w:pPr>
    </w:p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Big-picture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 Need to know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a tool only the facts the task requires.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 Authorized tools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 which tools your organization approves, and for which purposes.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 Document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what you entered and what you checked, so you can defend your actions.</w:t>
            </w:r>
          </w:p>
        </w:tc>
      </w:tr>
    </w:tbl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11111" w:color="auto" w:val="clear"/>
        </w:rPr>
        <w:t xml:space="preserve"> 1 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The rule is reasonable efforts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   RULE 1.6</w:t>
      </w:r>
    </w:p>
    <w:p>
      <w:pPr>
        <w:pBdr>
          <w:left w:val="single" w:color="111111" w:sz="24" w:space="8"/>
        </w:pBd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“A lawyer shall make reasonable efforts to prevent the inadvertent or unauthorized disclosure of, or unauthorized access to, information relating to the representation of a client.”</w:t>
      </w:r>
    </w:p>
    <w:p>
      <w:pPr>
        <w:spacing w:after="120" w:before="0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Model Rules of Pro. Conduct r. 1.6(c) (Am. Bar Ass’n 2023). Most states adopt this language in their own rules of professional conduct, sometimes under a different subsection letter, so check your state’s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 sensitivity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How much harm follows if this gets out?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44"/>
                <w:szCs w:val="44"/>
              </w:rPr>
              <w:t xml:space="preserve">⚖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Tool security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Where does the data go, and who can see it?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Comment 18 makes the standard a balance: the more sensitive the information, the more secure the tool has to be.</w:t>
      </w:r>
    </w:p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11111" w:color="auto" w:val="clear"/>
        </w:rPr>
        <w:t xml:space="preserve"> 2 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What Opinion 512 adds for AI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   ABA FORMAL OP. 512 (2024)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 anything goes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Evaluate the disclosure risk for this client, this matter, and this 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 the tool’s terms of use and privacy policy, or ask someone who has.</w:t>
            </w:r>
          </w:p>
        </w:tc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consent is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self-learning tool can surface one client’s information in another user’s output, so it needs the client’s informed consent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boilerplate clause in an engagement letter is not informed consent.</w:t>
            </w:r>
          </w:p>
        </w:tc>
      </w:tr>
    </w:tbl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11111" w:color="auto" w:val="clear"/>
        </w:rPr>
        <w:t xml:space="preserve"> 3 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Confidential means more than names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   RULE 1.6(A)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just names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 1.6 covers all information relating to the representation. A specific enough prompt identifies the matter on its own.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Internal information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figures, draft contracts, internal analysis, and business plans must remain confidential even with no client named.</w:t>
            </w:r>
          </w:p>
        </w:tc>
        <w:tc>
          <w:tcPr>
            <w:tcW w:type="dxa" w:w="312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Legal strategy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Settlement ranges, negotiating positions, and planned arguments reveal what the client intends to do.</w:t>
            </w:r>
          </w:p>
        </w:tc>
      </w:tr>
    </w:tbl>
    <w:p>
      <w:pPr>
        <w:spacing w:after="120" w:before="0"/>
      </w:pPr>
    </w:p>
    <w:p>
      <w:pPr>
        <w:pBdr>
          <w:top w:val="single" w:color="D9D9D9" w:sz="4" w:space="4"/>
        </w:pBdr>
        <w:spacing w:after="0" w:before="0"/>
      </w:pPr>
      <w:r>
        <w:rPr>
          <w:rFonts w:ascii="Calibri" w:cs="Calibri" w:eastAsia="Calibri" w:hAnsi="Calibri"/>
          <w:b/>
          <w:bCs/>
          <w:color w:val="5A5A5A"/>
          <w:sz w:val="16"/>
          <w:szCs w:val="16"/>
        </w:rPr>
        <w:t xml:space="preserve">Sources: 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Model Rules of Pro. Conduct r. 1.6 &amp; cmt. 18 (Am. Bar Ass’n 2023); ABA Comm. on Ethics &amp; Pro. Resp., Formal Op. 512 (2024).</w:t>
      </w:r>
    </w:p>
    <w:p>
      <w:r>
        <w:br w:type="page"/>
      </w:r>
    </w:p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11111" w:color="auto" w:val="clear"/>
        </w:rPr>
        <w:t xml:space="preserve"> 4 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Abstract and delete facts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   SANITIZING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Deletion</w:t>
      </w:r>
      <w:r>
        <w:rPr>
          <w:rFonts w:ascii="Calibri" w:cs="Calibri" w:eastAsia="Calibri" w:hAnsi="Calibri"/>
          <w:sz w:val="22"/>
          <w:szCs w:val="22"/>
        </w:rPr>
        <w:t xml:space="preserve"> removes a fact.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Abstraction</w:t>
      </w:r>
      <w:r>
        <w:rPr>
          <w:rFonts w:ascii="Calibri" w:cs="Calibri" w:eastAsia="Calibri" w:hAnsi="Calibri"/>
          <w:sz w:val="22"/>
          <w:szCs w:val="22"/>
        </w:rPr>
        <w:t xml:space="preserve"> replaces the fact with a description that keeps what the legal analysis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"/>
        <w:gridCol w:w="5160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Identifying fact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Abstraction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named company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→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“a manufacturing company”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particular property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→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“a commercial property”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Precise financial figures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→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 representative range (“$1 to 10 million”), where the legal analysis stays the same</w:t>
            </w:r>
          </w:p>
        </w:tc>
      </w:tr>
    </w:tbl>
    <w:p>
      <w:pPr>
        <w:spacing w:after="160" w:before="0"/>
      </w:pPr>
    </w:p>
    <w:p>
      <w:pPr>
        <w:pBdr>
          <w:left w:val="single" w:color="111111" w:sz="36" w:space="10"/>
        </w:pBdr>
        <w:shd w:fill="F2F2F2" w:color="auto" w:val="clear"/>
        <w:spacing w:after="80" w:before="120" w:line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 tool needs </w:t>
      </w:r>
      <w:r>
        <w:rPr>
          <w:rFonts w:ascii="Calibri" w:cs="Calibri" w:eastAsia="Calibri" w:hAnsi="Calibri"/>
          <w:b/>
          <w:bCs/>
          <w:i/>
          <w:iCs/>
          <w:sz w:val="30"/>
          <w:szCs w:val="30"/>
        </w:rPr>
        <w:t xml:space="preserve">general facts</w:t>
      </w:r>
      <w:r>
        <w:rPr>
          <w:rFonts w:ascii="Calibri" w:cs="Calibri" w:eastAsia="Calibri" w:hAnsi="Calibri"/>
          <w:b/>
          <w:bCs/>
          <w:sz w:val="30"/>
          <w:szCs w:val="30"/>
        </w:rPr>
        <w:t xml:space="preserve"> related to the legal issue. It rarely needs the </w:t>
      </w:r>
      <w:r>
        <w:rPr>
          <w:rFonts w:ascii="Calibri" w:cs="Calibri" w:eastAsia="Calibri" w:hAnsi="Calibri"/>
          <w:b/>
          <w:bCs/>
          <w:i/>
          <w:iCs/>
          <w:sz w:val="30"/>
          <w:szCs w:val="30"/>
        </w:rPr>
        <w:t xml:space="preserve">identifying facts</w:t>
      </w:r>
      <w:r>
        <w:rPr>
          <w:rFonts w:ascii="Calibri" w:cs="Calibri" w:eastAsia="Calibri" w:hAnsi="Calibri"/>
          <w:b/>
          <w:bCs/>
          <w:sz w:val="30"/>
          <w:szCs w:val="30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Examples and framing taken from Emily Pavuluri, </w:t>
      </w: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Teaching AI-Augmented Legal Research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 (Version 0.1, May 2026), an open teaching project, http://ailegalresearch.org/, licensed under CC BY-NC 4.0.</w:t>
      </w:r>
    </w:p>
    <w:p>
      <w:pPr>
        <w:pStyle w:val="Heading2"/>
        <w:keepNext/>
        <w:pBdr>
          <w:bottom w:val="single" w:color="111111" w:sz="12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111111" w:color="auto" w:val="clear"/>
        </w:rPr>
        <w:t xml:space="preserve"> 5 </w:t>
      </w: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11111"/>
          <w:sz w:val="26"/>
          <w:szCs w:val="26"/>
        </w:rPr>
        <w:t xml:space="preserve">Advanced prompting tips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   WORKING IN CHATGPT, CLAUDE, AND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Shift+Enter adds a line break.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alone sends the prompt, so hold Shift to start a new line and lay out a multi-part prompt before you submit it.</w:t>
            </w:r>
          </w:p>
        </w:tc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New topic: new chat.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you start a new topic, begin with a new chat. It keeps things organized and avoids having the AI read irrelevant information, thereby confusing it and burning tokens.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Attach a document to one prompt.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paperclip or plus sign to attach a file for this thread only. Put only permanent reference material (a syllabus, a code, a template) in a custom GPT’s knowledge base.</w:t>
            </w:r>
          </w:p>
        </w:tc>
        <w:tc>
          <w:tcPr>
            <w:tcW w:type="dxa" w:w="468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2F2F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Rename the conversation.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the auto-generated title with the subject, the task, and the date (“Civ Pro, jurisdiction outline, Oct 2026”) so you can find the chat months later.</w:t>
            </w:r>
          </w:p>
        </w:tc>
      </w:tr>
    </w:tbl>
    <w:p>
      <w:pPr>
        <w:spacing w:after="200" w:before="0"/>
      </w:pPr>
    </w:p>
    <w:p>
      <w:pPr>
        <w:pBdr>
          <w:top w:val="single" w:color="D9D9D9" w:sz="4" w:space="4"/>
        </w:pBdr>
        <w:spacing w:after="0" w:before="0"/>
      </w:pPr>
      <w:r>
        <w:rPr>
          <w:rFonts w:ascii="Calibri" w:cs="Calibri" w:eastAsia="Calibri" w:hAnsi="Calibri"/>
          <w:color w:val="5A5A5A"/>
          <w:sz w:val="16"/>
          <w:szCs w:val="16"/>
        </w:rPr>
        <w:t xml:space="preserve">Julie Tedjeske Crane,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Week 2 Handout: Confidentiality Issues and Advanced Prompting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, in </w:t>
      </w: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AI and Legal Research: Teaching Materials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 (2026), https://jmtedjeske-crane.github.io/ (licensed under CC BY-NC 4.0).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320" w:hanging="24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Handout: Confidentiality Issues and Advanced Prompting</dc:title>
  <dc:creator>Julie Tedjeske Crane</dc:creator>
  <cp:lastModifiedBy>Un-named</cp:lastModifiedBy>
  <cp:revision>1</cp:revision>
  <dcterms:created xsi:type="dcterms:W3CDTF">2026-10-26T12:16:52.079Z</dcterms:created>
  <dcterms:modified xsi:type="dcterms:W3CDTF">2026-10-26T12:16:52.087Z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