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jc w:val="center"/>
      </w:pPr>
      <w:r>
        <w:rPr>
          <w:rFonts w:ascii="Arial" w:eastAsia="Arial" w:hAnsi="Arial" w:cs="Arial"/>
          <w:b/>
          <w:bCs/>
          <w:color w:val="111111"/>
          <w:sz w:val="30"/>
          <w:szCs w:val="30"/>
        </w:rPr>
        <w:t>The Final Project: Overview</w:t>
      </w:r>
    </w:p>
    <w:p>
      <w:pPr>
        <w:spacing w:after="0"/>
        <w:jc w:val="center"/>
      </w:pPr>
      <w:r>
        <w:drawing>
          <wp:inline distT="0" distB="0" distL="0" distR="0">
            <wp:extent cx="6378497" cy="6537960"/>
            <wp:docPr id="901" name="Final project graphic" descr="Graphic titled The Final Project: 11 Steps + A Reflective Essay. Three bands assign the 11 steps to three roles: Strategist (Steps 1 to 3), Analyst (Steps 4 to 6), and Decision-Maker (Steps 7 to 11). Each role has a secondary role. A box at the bottom adds the reflective essay on the whole project."/>
            <a:graphic xmlns:a="http://schemas.openxmlformats.org/drawingml/2006/main">
              <a:graphicData uri="http://schemas.openxmlformats.org/drawingml/2006/picture">
                <pic:pic xmlns:pic="http://schemas.openxmlformats.org/drawingml/2006/picture">
                  <pic:nvPicPr>
                    <pic:cNvPr id="901" name="final-project-11-steps.png"/>
                    <pic:cNvPicPr/>
                  </pic:nvPicPr>
                  <pic:blipFill>
                    <a:blip r:embed="rId90"/>
                    <a:stretch>
                      <a:fillRect/>
                    </a:stretch>
                  </pic:blipFill>
                  <pic:spPr>
                    <a:xfrm>
                      <a:off x="0" y="0"/>
                      <a:ext cx="6378497" cy="6537960"/>
                    </a:xfrm>
                    <a:prstGeom prst="rect">
                      <a:avLst/>
                    </a:prstGeom>
                  </pic:spPr>
                </pic:pic>
              </a:graphicData>
            </a:graphic>
          </wp:inline>
        </w:drawing>
      </w:r>
    </w:p>
    <w:p w14:paraId="32DB8B83" w14:textId="77777777" w:rsidR="00F363CB" w:rsidRDefault="002C2425">
      <w:pPr>
        <w:pageBreakBefore/>
        <w:spacing w:after="40"/>
        <w:jc w:val="center"/>
      </w:pPr>
      <w:r>
        <w:rPr>
          <w:rFonts w:ascii="Arial" w:eastAsia="Arial" w:hAnsi="Arial" w:cs="Arial"/>
          <w:b/>
          <w:bCs/>
          <w:color w:val="111111"/>
          <w:sz w:val="30"/>
          <w:szCs w:val="30"/>
        </w:rPr>
        <w:t>The Final Project: What to Submit, Grading, and Research Skills</w:t>
      </w:r>
    </w:p>
    <w:p w14:paraId="2B83EC58" w14:textId="77777777" w:rsidR="00F363CB" w:rsidRDefault="002C2425">
      <w:pPr>
        <w:spacing w:before="40" w:after="50"/>
      </w:pPr>
      <w:r>
        <w:rPr>
          <w:rFonts w:ascii="Arial" w:eastAsia="Arial" w:hAnsi="Arial" w:cs="Arial"/>
          <w:b/>
          <w:bCs/>
          <w:color w:val="1E407C"/>
          <w:sz w:val="21"/>
          <w:szCs w:val="21"/>
        </w:rPr>
        <w:t>What to Submit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00"/>
        <w:gridCol w:w="4800"/>
        <w:gridCol w:w="4800"/>
      </w:tblGrid>
      <w:tr w:rsidR="00F363CB" w14:paraId="377ABB14" w14:textId="77777777">
        <w:tblPrEx>
          <w:tblCellMar>
            <w:top w:w="0" w:type="dxa"/>
            <w:bottom w:w="0" w:type="dxa"/>
          </w:tblCellMar>
        </w:tblPrEx>
        <w:trPr>
          <w:tblHeader/>
        </w:trPr>
        <w:tc>
          <w:tcPr>
            <w:tcW w:w="4800" w:type="dxa"/>
            <w:tcBorders>
              <w:top w:val="single" w:sz="4" w:space="0" w:color="D5DFEB"/>
              <w:left w:val="single" w:sz="4" w:space="0" w:color="D5DFEB"/>
              <w:bottom w:val="single" w:sz="4" w:space="0" w:color="D5DFEB"/>
              <w:right w:val="single" w:sz="4" w:space="0" w:color="D5DFEB"/>
            </w:tcBorders>
            <w:shd w:val="clear" w:color="auto" w:fill="1E407C"/>
            <w:tcMar>
              <w:top w:w="50" w:type="dxa"/>
              <w:left w:w="100" w:type="dxa"/>
              <w:bottom w:w="50" w:type="dxa"/>
              <w:right w:w="100" w:type="dxa"/>
            </w:tcMar>
          </w:tcPr>
          <w:p w14:paraId="7F0EB7F1" w14:textId="77777777" w:rsidR="00F363CB" w:rsidRDefault="002C2425">
            <w:r>
              <w:rPr>
                <w:rFonts w:ascii="Arial" w:eastAsia="Arial" w:hAnsi="Arial" w:cs="Arial"/>
                <w:b/>
                <w:bCs/>
                <w:color w:val="FFFFFF"/>
                <w:sz w:val="18"/>
                <w:szCs w:val="18"/>
              </w:rPr>
              <w:t>Text box</w:t>
            </w:r>
          </w:p>
        </w:tc>
        <w:tc>
          <w:tcPr>
            <w:tcW w:w="4800" w:type="dxa"/>
            <w:tcBorders>
              <w:top w:val="single" w:sz="4" w:space="0" w:color="D5DFEB"/>
              <w:left w:val="single" w:sz="4" w:space="0" w:color="D5DFEB"/>
              <w:bottom w:val="single" w:sz="4" w:space="0" w:color="D5DFEB"/>
              <w:right w:val="single" w:sz="4" w:space="0" w:color="D5DFEB"/>
            </w:tcBorders>
            <w:shd w:val="clear" w:color="auto" w:fill="1E407C"/>
            <w:tcMar>
              <w:top w:w="50" w:type="dxa"/>
              <w:left w:w="100" w:type="dxa"/>
              <w:bottom w:w="50" w:type="dxa"/>
              <w:right w:w="100" w:type="dxa"/>
            </w:tcMar>
          </w:tcPr>
          <w:p w14:paraId="72B39FCB" w14:textId="77777777" w:rsidR="00F363CB" w:rsidRDefault="002C2425">
            <w:r>
              <w:rPr>
                <w:rFonts w:ascii="Arial" w:eastAsia="Arial" w:hAnsi="Arial" w:cs="Arial"/>
                <w:b/>
                <w:bCs/>
                <w:color w:val="FFFFFF"/>
                <w:sz w:val="18"/>
                <w:szCs w:val="18"/>
              </w:rPr>
              <w:t>File upload</w:t>
            </w:r>
          </w:p>
        </w:tc>
        <w:tc>
          <w:tcPr>
            <w:tcW w:w="4800" w:type="dxa"/>
            <w:tcBorders>
              <w:top w:val="single" w:sz="4" w:space="0" w:color="D5DFEB"/>
              <w:left w:val="single" w:sz="4" w:space="0" w:color="D5DFEB"/>
              <w:bottom w:val="single" w:sz="4" w:space="0" w:color="D5DFEB"/>
              <w:right w:val="single" w:sz="4" w:space="0" w:color="D5DFEB"/>
            </w:tcBorders>
            <w:shd w:val="clear" w:color="auto" w:fill="1E407C"/>
            <w:tcMar>
              <w:top w:w="50" w:type="dxa"/>
              <w:left w:w="100" w:type="dxa"/>
              <w:bottom w:w="50" w:type="dxa"/>
              <w:right w:w="100" w:type="dxa"/>
            </w:tcMar>
          </w:tcPr>
          <w:p w14:paraId="700629B3" w14:textId="77777777" w:rsidR="00F363CB" w:rsidRDefault="002C2425">
            <w:r>
              <w:rPr>
                <w:rFonts w:ascii="Arial" w:eastAsia="Arial" w:hAnsi="Arial" w:cs="Arial"/>
                <w:b/>
                <w:bCs/>
                <w:color w:val="FFFFFF"/>
                <w:sz w:val="18"/>
                <w:szCs w:val="18"/>
              </w:rPr>
              <w:t>Text box or file upload</w:t>
            </w:r>
          </w:p>
        </w:tc>
      </w:tr>
      <w:tr w:rsidR="00F363CB" w14:paraId="2C24C5EF" w14:textId="77777777">
        <w:tblPrEx>
          <w:tblCellMar>
            <w:top w:w="0" w:type="dxa"/>
            <w:bottom w:w="0" w:type="dxa"/>
          </w:tblCellMar>
        </w:tblPrEx>
        <w:tc>
          <w:tcPr>
            <w:tcW w:w="4800" w:type="dxa"/>
            <w:tcBorders>
              <w:top w:val="single" w:sz="4" w:space="0" w:color="D5DFEB"/>
              <w:left w:val="single" w:sz="4" w:space="0" w:color="D5DFEB"/>
              <w:bottom w:val="single" w:sz="4" w:space="0" w:color="D5DFEB"/>
              <w:right w:val="single" w:sz="4" w:space="0" w:color="D5DFEB"/>
            </w:tcBorders>
            <w:tcMar>
              <w:top w:w="50" w:type="dxa"/>
              <w:left w:w="100" w:type="dxa"/>
              <w:bottom w:w="40" w:type="dxa"/>
              <w:right w:w="100" w:type="dxa"/>
            </w:tcMar>
          </w:tcPr>
          <w:p w14:paraId="7A67BC43"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Steps 1 to 3: </w:t>
            </w:r>
            <w:r>
              <w:rPr>
                <w:rFonts w:ascii="Arial" w:eastAsia="Arial" w:hAnsi="Arial" w:cs="Arial"/>
                <w:color w:val="1A1A1A"/>
                <w:sz w:val="17"/>
                <w:szCs w:val="17"/>
              </w:rPr>
              <w:t>Research plan and record of prompts</w:t>
            </w:r>
          </w:p>
          <w:p w14:paraId="78AE59E9"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Steps 4 and 5: </w:t>
            </w:r>
            <w:r>
              <w:rPr>
                <w:rFonts w:ascii="Arial" w:eastAsia="Arial" w:hAnsi="Arial" w:cs="Arial"/>
                <w:color w:val="1A1A1A"/>
                <w:sz w:val="17"/>
                <w:szCs w:val="17"/>
              </w:rPr>
              <w:t>Toe-hold reviews, secondary source review, and comparison essay</w:t>
            </w:r>
          </w:p>
          <w:p w14:paraId="53BC3E59"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Steps 9 and 10: </w:t>
            </w:r>
            <w:r>
              <w:rPr>
                <w:rFonts w:ascii="Arial" w:eastAsia="Arial" w:hAnsi="Arial" w:cs="Arial"/>
                <w:color w:val="1A1A1A"/>
                <w:sz w:val="17"/>
                <w:szCs w:val="17"/>
              </w:rPr>
              <w:t>Feedback reflection</w:t>
            </w:r>
          </w:p>
          <w:p w14:paraId="77B0BC2A"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Whole project: </w:t>
            </w:r>
            <w:r>
              <w:rPr>
                <w:rFonts w:ascii="Arial" w:eastAsia="Arial" w:hAnsi="Arial" w:cs="Arial"/>
                <w:color w:val="1A1A1A"/>
                <w:sz w:val="17"/>
                <w:szCs w:val="17"/>
              </w:rPr>
              <w:t>Reflective essay (Overall Reflection)</w:t>
            </w:r>
          </w:p>
        </w:tc>
        <w:tc>
          <w:tcPr>
            <w:tcW w:w="4800" w:type="dxa"/>
            <w:tcBorders>
              <w:top w:val="single" w:sz="4" w:space="0" w:color="D5DFEB"/>
              <w:left w:val="single" w:sz="4" w:space="0" w:color="D5DFEB"/>
              <w:bottom w:val="single" w:sz="4" w:space="0" w:color="D5DFEB"/>
              <w:right w:val="single" w:sz="4" w:space="0" w:color="D5DFEB"/>
            </w:tcBorders>
            <w:tcMar>
              <w:top w:w="50" w:type="dxa"/>
              <w:left w:w="100" w:type="dxa"/>
              <w:bottom w:w="40" w:type="dxa"/>
              <w:right w:w="100" w:type="dxa"/>
            </w:tcMar>
          </w:tcPr>
          <w:p w14:paraId="522F7D4F"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Steps 2 and 3: </w:t>
            </w:r>
            <w:r>
              <w:rPr>
                <w:rFonts w:ascii="Arial" w:eastAsia="Arial" w:hAnsi="Arial" w:cs="Arial"/>
                <w:color w:val="1A1A1A"/>
                <w:sz w:val="17"/>
                <w:szCs w:val="17"/>
              </w:rPr>
              <w:t>Full AI outputs</w:t>
            </w:r>
          </w:p>
          <w:p w14:paraId="16328BAA"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 7: </w:t>
            </w:r>
            <w:r>
              <w:rPr>
                <w:rFonts w:ascii="Arial" w:eastAsia="Arial" w:hAnsi="Arial" w:cs="Arial"/>
                <w:color w:val="1A1A1A"/>
                <w:sz w:val="17"/>
                <w:szCs w:val="17"/>
              </w:rPr>
              <w:t>Authority table</w:t>
            </w:r>
          </w:p>
          <w:p w14:paraId="02E728D4"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 8: </w:t>
            </w:r>
            <w:r>
              <w:rPr>
                <w:rFonts w:ascii="Arial" w:eastAsia="Arial" w:hAnsi="Arial" w:cs="Arial"/>
                <w:color w:val="1A1A1A"/>
                <w:sz w:val="17"/>
                <w:szCs w:val="17"/>
              </w:rPr>
              <w:t>Objective memo (upload it after you finish Step 11)</w:t>
            </w:r>
          </w:p>
          <w:p w14:paraId="7915FA6B"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Steps 9 and 10: </w:t>
            </w:r>
            <w:r>
              <w:rPr>
                <w:rFonts w:ascii="Arial" w:eastAsia="Arial" w:hAnsi="Arial" w:cs="Arial"/>
                <w:color w:val="1A1A1A"/>
                <w:sz w:val="17"/>
                <w:szCs w:val="17"/>
              </w:rPr>
              <w:t>Analyzer report and AI feedback</w:t>
            </w:r>
          </w:p>
        </w:tc>
        <w:tc>
          <w:tcPr>
            <w:tcW w:w="4800" w:type="dxa"/>
            <w:tcBorders>
              <w:top w:val="single" w:sz="4" w:space="0" w:color="D5DFEB"/>
              <w:left w:val="single" w:sz="4" w:space="0" w:color="D5DFEB"/>
              <w:bottom w:val="single" w:sz="4" w:space="0" w:color="D5DFEB"/>
              <w:right w:val="single" w:sz="4" w:space="0" w:color="D5DFEB"/>
            </w:tcBorders>
            <w:tcMar>
              <w:top w:w="50" w:type="dxa"/>
              <w:left w:w="100" w:type="dxa"/>
              <w:bottom w:w="40" w:type="dxa"/>
              <w:right w:w="100" w:type="dxa"/>
            </w:tcMar>
          </w:tcPr>
          <w:p w14:paraId="5B34DDEC"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Step 6: </w:t>
            </w:r>
            <w:r>
              <w:rPr>
                <w:rFonts w:ascii="Arial" w:eastAsia="Arial" w:hAnsi="Arial" w:cs="Arial"/>
                <w:color w:val="1A1A1A"/>
                <w:sz w:val="17"/>
                <w:szCs w:val="17"/>
              </w:rPr>
              <w:t>Research log or essay</w:t>
            </w:r>
          </w:p>
        </w:tc>
      </w:tr>
    </w:tbl>
    <w:p w14:paraId="19CA3F1D" w14:textId="77777777" w:rsidR="00F363CB" w:rsidRDefault="00F363CB">
      <w:pPr>
        <w:spacing w:after="40"/>
      </w:pPr>
    </w:p>
    <w:tbl>
      <w:tblPr>
        <w:tblW w:w="14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000"/>
        <w:gridCol w:w="4000"/>
        <w:gridCol w:w="6400"/>
      </w:tblGrid>
      <w:tr w:rsidR="00F363CB" w14:paraId="7D7453C4"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180" w:type="dxa"/>
            </w:tcMar>
          </w:tcPr>
          <w:p w14:paraId="7EE3F47A" w14:textId="77777777" w:rsidR="00F363CB" w:rsidRDefault="002C2425">
            <w:pPr>
              <w:pBdr>
                <w:bottom w:val="single" w:sz="8" w:space="2" w:color="1E407C"/>
              </w:pBdr>
              <w:spacing w:before="90" w:after="50"/>
            </w:pPr>
            <w:r>
              <w:rPr>
                <w:rFonts w:ascii="Arial" w:eastAsia="Arial" w:hAnsi="Arial" w:cs="Arial"/>
                <w:b/>
                <w:bCs/>
                <w:color w:val="1E407C"/>
                <w:sz w:val="21"/>
                <w:szCs w:val="21"/>
              </w:rPr>
              <w:t>Grade</w:t>
            </w:r>
          </w:p>
          <w:p w14:paraId="0A26EE53" w14:textId="77777777" w:rsidR="00F363CB" w:rsidRDefault="002C2425">
            <w:pPr>
              <w:spacing w:after="50" w:line="250" w:lineRule="auto"/>
            </w:pPr>
            <w:r>
              <w:rPr>
                <w:rFonts w:ascii="Arial" w:eastAsia="Arial" w:hAnsi="Arial" w:cs="Arial"/>
                <w:b/>
                <w:bCs/>
                <w:color w:val="1A1A1A"/>
                <w:sz w:val="17"/>
                <w:szCs w:val="17"/>
              </w:rPr>
              <w:t xml:space="preserve">45% </w:t>
            </w:r>
            <w:r>
              <w:rPr>
                <w:rFonts w:ascii="Arial" w:eastAsia="Arial" w:hAnsi="Arial" w:cs="Arial"/>
                <w:color w:val="1A1A1A"/>
                <w:sz w:val="17"/>
                <w:szCs w:val="17"/>
              </w:rPr>
              <w:t>of your course grade. Grading is curved to align with the law school’s grading norms.</w:t>
            </w:r>
          </w:p>
          <w:p w14:paraId="12919F53" w14:textId="77777777" w:rsidR="00F363CB" w:rsidRDefault="002C2425">
            <w:pPr>
              <w:spacing w:after="50" w:line="250" w:lineRule="auto"/>
            </w:pPr>
            <w:r>
              <w:rPr>
                <w:rFonts w:ascii="Arial" w:eastAsia="Arial" w:hAnsi="Arial" w:cs="Arial"/>
                <w:b/>
                <w:bCs/>
                <w:color w:val="1A1A1A"/>
                <w:sz w:val="17"/>
                <w:szCs w:val="17"/>
              </w:rPr>
              <w:t xml:space="preserve">Due: </w:t>
            </w:r>
            <w:r>
              <w:rPr>
                <w:rFonts w:ascii="Arial" w:eastAsia="Arial" w:hAnsi="Arial" w:cs="Arial"/>
                <w:color w:val="1A1A1A"/>
                <w:sz w:val="17"/>
                <w:szCs w:val="17"/>
              </w:rPr>
              <w:t>[date], [time].</w:t>
            </w:r>
          </w:p>
          <w:p w14:paraId="7799FD54" w14:textId="77777777" w:rsidR="00F363CB" w:rsidRDefault="002C2425">
            <w:pPr>
              <w:pBdr>
                <w:bottom w:val="single" w:sz="8" w:space="2" w:color="1E407C"/>
              </w:pBdr>
              <w:spacing w:before="90" w:after="50"/>
            </w:pPr>
            <w:r>
              <w:rPr>
                <w:rFonts w:ascii="Arial" w:eastAsia="Arial" w:hAnsi="Arial" w:cs="Arial"/>
                <w:b/>
                <w:bCs/>
                <w:color w:val="1E407C"/>
                <w:sz w:val="21"/>
                <w:szCs w:val="21"/>
              </w:rPr>
              <w:t>Bluebook and Citations</w:t>
            </w:r>
          </w:p>
          <w:p>
            <w:pPr>
              <w:spacing w:after="50" w:line="250" w:lineRule="auto"/>
            </w:pPr>
            <w:r>
              <w:rPr>
                <w:rFonts w:ascii="Arial" w:eastAsia="Arial" w:hAnsi="Arial" w:cs="Arial"/>
                <w:color w:val="1A1A1A"/>
                <w:sz w:val="17"/>
                <w:szCs w:val="17"/>
              </w:rPr>
              <w:t xml:space="preserve">Bluebook form is graded only in your Step 8 memo. Elsewhere, Bluebook form is appropriate but not required.</w:t>
            </w:r>
          </w:p>
          <w:p w14:paraId="699878F9" w14:textId="3A8A1A43" w:rsidR="00F363CB" w:rsidRDefault="001A0D83">
            <w:pPr>
              <w:spacing w:after="50" w:line="250" w:lineRule="auto"/>
            </w:pPr>
            <w:r>
              <w:rPr>
                <w:rFonts w:ascii="Arial" w:eastAsia="Arial" w:hAnsi="Arial" w:cs="Arial"/>
                <w:color w:val="1A1A1A"/>
                <w:sz w:val="17"/>
                <w:szCs w:val="17"/>
              </w:rPr>
              <w:t>Use Bluebook citations but don’t focus on details</w:t>
            </w:r>
            <w:r w:rsidR="002C2425">
              <w:rPr>
                <w:rFonts w:ascii="Arial" w:eastAsia="Arial" w:hAnsi="Arial" w:cs="Arial"/>
                <w:color w:val="1A1A1A"/>
                <w:sz w:val="17"/>
                <w:szCs w:val="17"/>
              </w:rPr>
              <w:t>. I grade a citation only when its error affects the substance of your work, for example</w:t>
            </w:r>
            <w:r>
              <w:rPr>
                <w:rFonts w:ascii="Arial" w:eastAsia="Arial" w:hAnsi="Arial" w:cs="Arial"/>
                <w:color w:val="1A1A1A"/>
                <w:sz w:val="17"/>
                <w:szCs w:val="17"/>
              </w:rPr>
              <w:t>,</w:t>
            </w:r>
            <w:r w:rsidR="002C2425">
              <w:rPr>
                <w:rFonts w:ascii="Arial" w:eastAsia="Arial" w:hAnsi="Arial" w:cs="Arial"/>
                <w:color w:val="1A1A1A"/>
                <w:sz w:val="17"/>
                <w:szCs w:val="17"/>
              </w:rPr>
              <w:t xml:space="preserve"> when it names the wrong court, hides that a proposition comes from a dissent, or omits a pinpoint citation.</w:t>
            </w:r>
          </w:p>
          <w:p w14:paraId="1965D33C" w14:textId="77777777" w:rsidR="00F363CB" w:rsidRDefault="002C2425">
            <w:pPr>
              <w:spacing w:after="50" w:line="250" w:lineRule="auto"/>
            </w:pPr>
            <w:r>
              <w:rPr>
                <w:rFonts w:ascii="Arial" w:eastAsia="Arial" w:hAnsi="Arial" w:cs="Arial"/>
                <w:color w:val="1A1A1A"/>
                <w:sz w:val="17"/>
                <w:szCs w:val="17"/>
              </w:rPr>
              <w:t>Every citation must lead the reader to the exact place that supports your proposition. Give a pinpoint citation (page or paragraph) for every case, and cite the exact subsection of every statute, court rule, or regulation.</w:t>
            </w:r>
          </w:p>
          <w:p w14:paraId="7265520D" w14:textId="77777777" w:rsidR="00F363CB" w:rsidRDefault="002C2425">
            <w:pPr>
              <w:pBdr>
                <w:bottom w:val="single" w:sz="8" w:space="2" w:color="1E407C"/>
              </w:pBdr>
              <w:spacing w:before="90" w:after="50"/>
            </w:pPr>
            <w:r>
              <w:rPr>
                <w:rFonts w:ascii="Arial" w:eastAsia="Arial" w:hAnsi="Arial" w:cs="Arial"/>
                <w:b/>
                <w:bCs/>
                <w:color w:val="1E407C"/>
                <w:sz w:val="21"/>
                <w:szCs w:val="21"/>
              </w:rPr>
              <w:t>Your Name</w:t>
            </w:r>
          </w:p>
          <w:p w14:paraId="3409B1D6" w14:textId="77777777" w:rsidR="00F363CB" w:rsidRDefault="002C2425">
            <w:pPr>
              <w:spacing w:after="50" w:line="250" w:lineRule="auto"/>
            </w:pPr>
            <w:r>
              <w:rPr>
                <w:rFonts w:ascii="Arial" w:eastAsia="Arial" w:hAnsi="Arial" w:cs="Arial"/>
                <w:color w:val="1A1A1A"/>
                <w:sz w:val="17"/>
                <w:szCs w:val="17"/>
              </w:rPr>
              <w:t>Do not put your name anywhere in your submissions or in any file name. Some platforms print your name on their AI reports, and that is fine. You may redact your name from a report, but do not change anything else in it.</w:t>
            </w:r>
          </w:p>
        </w:tc>
        <w:tc>
          <w:tcPr>
            <w:tcW w:w="4000" w:type="dxa"/>
            <w:tcBorders>
              <w:top w:val="none" w:sz="0" w:space="0" w:color="FFFFFF"/>
              <w:left w:val="none" w:sz="0" w:space="0" w:color="FFFFFF"/>
              <w:bottom w:val="none" w:sz="0" w:space="0" w:color="FFFFFF"/>
              <w:right w:val="none" w:sz="0" w:space="0" w:color="FFFFFF"/>
            </w:tcBorders>
            <w:tcMar>
              <w:top w:w="0" w:type="dxa"/>
              <w:left w:w="180" w:type="dxa"/>
              <w:bottom w:w="0" w:type="dxa"/>
              <w:right w:w="180" w:type="dxa"/>
            </w:tcMar>
          </w:tcPr>
          <w:p w14:paraId="72F834FB" w14:textId="77777777" w:rsidR="00F363CB" w:rsidRDefault="002C2425">
            <w:pPr>
              <w:pBdr>
                <w:bottom w:val="single" w:sz="8" w:space="2" w:color="1E407C"/>
              </w:pBdr>
              <w:spacing w:before="90" w:after="50"/>
            </w:pPr>
            <w:r>
              <w:rPr>
                <w:rFonts w:ascii="Arial" w:eastAsia="Arial" w:hAnsi="Arial" w:cs="Arial"/>
                <w:b/>
                <w:bCs/>
                <w:color w:val="1E407C"/>
                <w:sz w:val="21"/>
                <w:szCs w:val="21"/>
              </w:rPr>
              <w:t>What Is a Toe-Hold Review?</w:t>
            </w:r>
          </w:p>
          <w:p w14:paraId="37158402" w14:textId="77777777" w:rsidR="00F363CB" w:rsidRDefault="002C2425">
            <w:pPr>
              <w:spacing w:after="50" w:line="250" w:lineRule="auto"/>
            </w:pPr>
            <w:r>
              <w:rPr>
                <w:rFonts w:ascii="Arial" w:eastAsia="Arial" w:hAnsi="Arial" w:cs="Arial"/>
                <w:color w:val="1A1A1A"/>
                <w:sz w:val="17"/>
                <w:szCs w:val="17"/>
              </w:rPr>
              <w:t xml:space="preserve">A toe-hold review is your first read of an AI output, or of a secondary source in Step 5, </w:t>
            </w:r>
            <w:r>
              <w:rPr>
                <w:rFonts w:ascii="Arial" w:eastAsia="Arial" w:hAnsi="Arial" w:cs="Arial"/>
                <w:b/>
                <w:bCs/>
                <w:color w:val="1A1A1A"/>
                <w:sz w:val="17"/>
                <w:szCs w:val="17"/>
              </w:rPr>
              <w:t>before</w:t>
            </w:r>
            <w:r>
              <w:rPr>
                <w:rFonts w:ascii="Arial" w:eastAsia="Arial" w:hAnsi="Arial" w:cs="Arial"/>
                <w:color w:val="1A1A1A"/>
                <w:sz w:val="17"/>
                <w:szCs w:val="17"/>
              </w:rPr>
              <w:t xml:space="preserve"> you verify anything. The goal is to strip the output down to the most important leads for further research.</w:t>
            </w:r>
          </w:p>
          <w:p w14:paraId="4F762042" w14:textId="77777777" w:rsidR="00F363CB" w:rsidRDefault="002C2425">
            <w:pPr>
              <w:keepNext/>
              <w:spacing w:before="40" w:after="20"/>
            </w:pPr>
            <w:r>
              <w:rPr>
                <w:rFonts w:ascii="Arial" w:eastAsia="Arial" w:hAnsi="Arial" w:cs="Arial"/>
                <w:b/>
                <w:bCs/>
                <w:color w:val="1E407C"/>
                <w:sz w:val="18"/>
                <w:szCs w:val="18"/>
              </w:rPr>
              <w:t>Each review has four parts</w:t>
            </w:r>
          </w:p>
          <w:p w14:paraId="01C07486" w14:textId="77777777" w:rsidR="00F363CB" w:rsidRDefault="002C2425">
            <w:pPr>
              <w:pStyle w:val="ListParagraph"/>
              <w:numPr>
                <w:ilvl w:val="0"/>
                <w:numId w:val="3"/>
              </w:numPr>
              <w:spacing w:after="20" w:line="235" w:lineRule="auto"/>
            </w:pPr>
            <w:r>
              <w:rPr>
                <w:rFonts w:ascii="Arial" w:eastAsia="Arial" w:hAnsi="Arial" w:cs="Arial"/>
                <w:b/>
                <w:bCs/>
                <w:color w:val="1A1A1A"/>
                <w:sz w:val="17"/>
                <w:szCs w:val="17"/>
              </w:rPr>
              <w:t xml:space="preserve">Conclusion. </w:t>
            </w:r>
            <w:proofErr w:type="gramStart"/>
            <w:r>
              <w:rPr>
                <w:rFonts w:ascii="Arial" w:eastAsia="Arial" w:hAnsi="Arial" w:cs="Arial"/>
                <w:color w:val="1A1A1A"/>
                <w:sz w:val="17"/>
                <w:szCs w:val="17"/>
              </w:rPr>
              <w:t>The output’s</w:t>
            </w:r>
            <w:proofErr w:type="gramEnd"/>
            <w:r>
              <w:rPr>
                <w:rFonts w:ascii="Arial" w:eastAsia="Arial" w:hAnsi="Arial" w:cs="Arial"/>
                <w:color w:val="1A1A1A"/>
                <w:sz w:val="17"/>
                <w:szCs w:val="17"/>
              </w:rPr>
              <w:t xml:space="preserve"> conclusion</w:t>
            </w:r>
            <w:proofErr w:type="gramStart"/>
            <w:r>
              <w:rPr>
                <w:rFonts w:ascii="Arial" w:eastAsia="Arial" w:hAnsi="Arial" w:cs="Arial"/>
                <w:color w:val="1A1A1A"/>
                <w:sz w:val="17"/>
                <w:szCs w:val="17"/>
              </w:rPr>
              <w:t>, in</w:t>
            </w:r>
            <w:proofErr w:type="gramEnd"/>
            <w:r>
              <w:rPr>
                <w:rFonts w:ascii="Arial" w:eastAsia="Arial" w:hAnsi="Arial" w:cs="Arial"/>
                <w:color w:val="1A1A1A"/>
                <w:sz w:val="17"/>
                <w:szCs w:val="17"/>
              </w:rPr>
              <w:t xml:space="preserve"> one to three sentences.</w:t>
            </w:r>
          </w:p>
          <w:p w14:paraId="4F42E569" w14:textId="77777777" w:rsidR="00F363CB" w:rsidRDefault="002C2425">
            <w:pPr>
              <w:pStyle w:val="ListParagraph"/>
              <w:numPr>
                <w:ilvl w:val="0"/>
                <w:numId w:val="3"/>
              </w:numPr>
              <w:spacing w:after="20" w:line="235" w:lineRule="auto"/>
            </w:pPr>
            <w:r>
              <w:rPr>
                <w:rFonts w:ascii="Arial" w:eastAsia="Arial" w:hAnsi="Arial" w:cs="Arial"/>
                <w:b/>
                <w:bCs/>
                <w:color w:val="1A1A1A"/>
                <w:sz w:val="17"/>
                <w:szCs w:val="17"/>
              </w:rPr>
              <w:t xml:space="preserve">Statutes, Court Rules, Constitutional Provisions, and Regulations. </w:t>
            </w:r>
            <w:r>
              <w:rPr>
                <w:rFonts w:ascii="Arial" w:eastAsia="Arial" w:hAnsi="Arial" w:cs="Arial"/>
                <w:color w:val="1A1A1A"/>
                <w:sz w:val="17"/>
                <w:szCs w:val="17"/>
              </w:rPr>
              <w:t>Anything that looks relevant.</w:t>
            </w:r>
          </w:p>
          <w:p w14:paraId="5467D7D8" w14:textId="77777777" w:rsidR="00F363CB" w:rsidRDefault="002C2425">
            <w:pPr>
              <w:pStyle w:val="ListParagraph"/>
              <w:numPr>
                <w:ilvl w:val="0"/>
                <w:numId w:val="3"/>
              </w:numPr>
              <w:spacing w:after="20" w:line="235" w:lineRule="auto"/>
            </w:pPr>
            <w:r>
              <w:rPr>
                <w:rFonts w:ascii="Arial" w:eastAsia="Arial" w:hAnsi="Arial" w:cs="Arial"/>
                <w:b/>
                <w:bCs/>
                <w:color w:val="1A1A1A"/>
                <w:sz w:val="17"/>
                <w:szCs w:val="17"/>
              </w:rPr>
              <w:t xml:space="preserve">Cases. </w:t>
            </w:r>
            <w:r>
              <w:rPr>
                <w:rFonts w:ascii="Arial" w:eastAsia="Arial" w:hAnsi="Arial" w:cs="Arial"/>
                <w:color w:val="1A1A1A"/>
                <w:sz w:val="17"/>
                <w:szCs w:val="17"/>
              </w:rPr>
              <w:t>No more than five.</w:t>
            </w:r>
          </w:p>
          <w:p w14:paraId="2ED05D20" w14:textId="77777777" w:rsidR="00F363CB" w:rsidRDefault="002C2425">
            <w:pPr>
              <w:pStyle w:val="ListParagraph"/>
              <w:numPr>
                <w:ilvl w:val="0"/>
                <w:numId w:val="3"/>
              </w:numPr>
              <w:spacing w:after="20" w:line="235" w:lineRule="auto"/>
            </w:pPr>
            <w:r>
              <w:rPr>
                <w:rFonts w:ascii="Arial" w:eastAsia="Arial" w:hAnsi="Arial" w:cs="Arial"/>
                <w:b/>
                <w:bCs/>
                <w:color w:val="1A1A1A"/>
                <w:sz w:val="17"/>
                <w:szCs w:val="17"/>
              </w:rPr>
              <w:t xml:space="preserve">Secondary Sources. </w:t>
            </w:r>
            <w:r>
              <w:rPr>
                <w:rFonts w:ascii="Arial" w:eastAsia="Arial" w:hAnsi="Arial" w:cs="Arial"/>
                <w:color w:val="1A1A1A"/>
                <w:sz w:val="17"/>
                <w:szCs w:val="17"/>
              </w:rPr>
              <w:t>No more than three that you might review.</w:t>
            </w:r>
          </w:p>
        </w:tc>
        <w:tc>
          <w:tcPr>
            <w:tcW w:w="6400" w:type="dxa"/>
            <w:tcBorders>
              <w:top w:val="none" w:sz="0" w:space="0" w:color="FFFFFF"/>
              <w:left w:val="none" w:sz="0" w:space="0" w:color="FFFFFF"/>
              <w:bottom w:val="none" w:sz="0" w:space="0" w:color="FFFFFF"/>
              <w:right w:val="none" w:sz="0" w:space="0" w:color="FFFFFF"/>
            </w:tcBorders>
            <w:tcMar>
              <w:top w:w="0" w:type="dxa"/>
              <w:left w:w="180" w:type="dxa"/>
              <w:bottom w:w="0" w:type="dxa"/>
              <w:right w:w="0" w:type="dxa"/>
            </w:tcMar>
          </w:tcPr>
          <w:p w14:paraId="0A915E6F" w14:textId="77777777" w:rsidR="00F363CB" w:rsidRDefault="002C2425">
            <w:pPr>
              <w:pBdr>
                <w:bottom w:val="single" w:sz="8" w:space="2" w:color="1E407C"/>
              </w:pBdr>
              <w:spacing w:before="90" w:after="50"/>
            </w:pPr>
            <w:r>
              <w:rPr>
                <w:rFonts w:ascii="Arial" w:eastAsia="Arial" w:hAnsi="Arial" w:cs="Arial"/>
                <w:b/>
                <w:bCs/>
                <w:color w:val="1E407C"/>
                <w:sz w:val="21"/>
                <w:szCs w:val="21"/>
              </w:rPr>
              <w:t>Traditional Research Skills (Step 6)</w:t>
            </w:r>
          </w:p>
          <w:p w14:paraId="05E07895" w14:textId="77777777" w:rsidR="00F363CB" w:rsidRDefault="002C2425">
            <w:pPr>
              <w:keepNext/>
              <w:spacing w:before="40" w:after="20"/>
            </w:pPr>
            <w:r>
              <w:rPr>
                <w:rFonts w:ascii="Arial" w:eastAsia="Arial" w:hAnsi="Arial" w:cs="Arial"/>
                <w:b/>
                <w:bCs/>
                <w:color w:val="1E407C"/>
                <w:sz w:val="18"/>
                <w:szCs w:val="18"/>
              </w:rPr>
              <w:t>One good case method</w:t>
            </w:r>
          </w:p>
          <w:p w14:paraId="0F7E9EB5"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Citators. </w:t>
            </w:r>
            <w:r>
              <w:rPr>
                <w:rFonts w:ascii="Arial" w:eastAsia="Arial" w:hAnsi="Arial" w:cs="Arial"/>
                <w:color w:val="1A1A1A"/>
                <w:sz w:val="17"/>
                <w:szCs w:val="17"/>
              </w:rPr>
              <w:t xml:space="preserve">Run a key case through </w:t>
            </w:r>
            <w:proofErr w:type="spellStart"/>
            <w:r>
              <w:rPr>
                <w:rFonts w:ascii="Arial" w:eastAsia="Arial" w:hAnsi="Arial" w:cs="Arial"/>
                <w:color w:val="1A1A1A"/>
                <w:sz w:val="17"/>
                <w:szCs w:val="17"/>
              </w:rPr>
              <w:t>KeyCite</w:t>
            </w:r>
            <w:proofErr w:type="spellEnd"/>
            <w:r>
              <w:rPr>
                <w:rFonts w:ascii="Arial" w:eastAsia="Arial" w:hAnsi="Arial" w:cs="Arial"/>
                <w:color w:val="1A1A1A"/>
                <w:sz w:val="17"/>
                <w:szCs w:val="17"/>
              </w:rPr>
              <w:t xml:space="preserve">, Shepard’s, or </w:t>
            </w:r>
            <w:proofErr w:type="spellStart"/>
            <w:r>
              <w:rPr>
                <w:rFonts w:ascii="Arial" w:eastAsia="Arial" w:hAnsi="Arial" w:cs="Arial"/>
                <w:color w:val="1A1A1A"/>
                <w:sz w:val="17"/>
                <w:szCs w:val="17"/>
              </w:rPr>
              <w:t>BCite</w:t>
            </w:r>
            <w:proofErr w:type="spellEnd"/>
            <w:r>
              <w:rPr>
                <w:rFonts w:ascii="Arial" w:eastAsia="Arial" w:hAnsi="Arial" w:cs="Arial"/>
                <w:color w:val="1A1A1A"/>
                <w:sz w:val="17"/>
                <w:szCs w:val="17"/>
              </w:rPr>
              <w:t xml:space="preserve"> to identify cases or other resources that cite to your authority.</w:t>
            </w:r>
          </w:p>
          <w:p w14:paraId="079B5089"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Key Numbers. </w:t>
            </w:r>
            <w:r>
              <w:rPr>
                <w:rFonts w:ascii="Arial" w:eastAsia="Arial" w:hAnsi="Arial" w:cs="Arial"/>
                <w:color w:val="1A1A1A"/>
                <w:sz w:val="17"/>
                <w:szCs w:val="17"/>
              </w:rPr>
              <w:t>Use the West Key Number on a relevant headnote to find cases on the same point.</w:t>
            </w:r>
          </w:p>
          <w:p w14:paraId="6C6D55E2"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Topics. </w:t>
            </w:r>
            <w:r>
              <w:rPr>
                <w:rFonts w:ascii="Arial" w:eastAsia="Arial" w:hAnsi="Arial" w:cs="Arial"/>
                <w:color w:val="1A1A1A"/>
                <w:sz w:val="17"/>
                <w:szCs w:val="17"/>
              </w:rPr>
              <w:t>Use a headnote’s topic, such as a Lexis topic, to find cases on the same point.</w:t>
            </w:r>
          </w:p>
          <w:p w14:paraId="3984AF32"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Headnotes. </w:t>
            </w:r>
            <w:r>
              <w:rPr>
                <w:rFonts w:ascii="Arial" w:eastAsia="Arial" w:hAnsi="Arial" w:cs="Arial"/>
                <w:color w:val="1A1A1A"/>
                <w:sz w:val="17"/>
                <w:szCs w:val="17"/>
              </w:rPr>
              <w:t>Follow a relevant headnote to later cases that cite the case for that point.</w:t>
            </w:r>
          </w:p>
          <w:p w14:paraId="3241E0D0"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Table of Authorities. </w:t>
            </w:r>
            <w:r>
              <w:rPr>
                <w:rFonts w:ascii="Arial" w:eastAsia="Arial" w:hAnsi="Arial" w:cs="Arial"/>
                <w:color w:val="1A1A1A"/>
                <w:sz w:val="17"/>
                <w:szCs w:val="17"/>
              </w:rPr>
              <w:t>Review the authorities that a key case cites, to find earlier cases.</w:t>
            </w:r>
          </w:p>
          <w:p w14:paraId="245A68A0" w14:textId="77777777" w:rsidR="00F363CB" w:rsidRDefault="002C2425">
            <w:pPr>
              <w:keepNext/>
              <w:spacing w:before="40" w:after="20"/>
            </w:pPr>
            <w:r>
              <w:rPr>
                <w:rFonts w:ascii="Arial" w:eastAsia="Arial" w:hAnsi="Arial" w:cs="Arial"/>
                <w:b/>
                <w:bCs/>
                <w:color w:val="1E407C"/>
                <w:sz w:val="18"/>
                <w:szCs w:val="18"/>
              </w:rPr>
              <w:t>Statutes, regulations, court rules, and constitutional provisions</w:t>
            </w:r>
          </w:p>
          <w:p w14:paraId="3B6C8C88"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Statutory text. </w:t>
            </w:r>
            <w:r>
              <w:rPr>
                <w:rFonts w:ascii="Arial" w:eastAsia="Arial" w:hAnsi="Arial" w:cs="Arial"/>
                <w:color w:val="1A1A1A"/>
                <w:sz w:val="17"/>
                <w:szCs w:val="17"/>
              </w:rPr>
              <w:t>Read the statutory text, look at the surrounding provisions and structure, and check for definitions.</w:t>
            </w:r>
          </w:p>
          <w:p w14:paraId="4E57FF0B"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Citators. </w:t>
            </w:r>
            <w:r>
              <w:rPr>
                <w:rFonts w:ascii="Arial" w:eastAsia="Arial" w:hAnsi="Arial" w:cs="Arial"/>
                <w:color w:val="1A1A1A"/>
                <w:sz w:val="17"/>
                <w:szCs w:val="17"/>
              </w:rPr>
              <w:t xml:space="preserve">Run the provision through </w:t>
            </w:r>
            <w:proofErr w:type="spellStart"/>
            <w:r>
              <w:rPr>
                <w:rFonts w:ascii="Arial" w:eastAsia="Arial" w:hAnsi="Arial" w:cs="Arial"/>
                <w:color w:val="1A1A1A"/>
                <w:sz w:val="17"/>
                <w:szCs w:val="17"/>
              </w:rPr>
              <w:t>KeyCite</w:t>
            </w:r>
            <w:proofErr w:type="spellEnd"/>
            <w:r>
              <w:rPr>
                <w:rFonts w:ascii="Arial" w:eastAsia="Arial" w:hAnsi="Arial" w:cs="Arial"/>
                <w:color w:val="1A1A1A"/>
                <w:sz w:val="17"/>
                <w:szCs w:val="17"/>
              </w:rPr>
              <w:t xml:space="preserve">, Shepard’s, or </w:t>
            </w:r>
            <w:proofErr w:type="spellStart"/>
            <w:r>
              <w:rPr>
                <w:rFonts w:ascii="Arial" w:eastAsia="Arial" w:hAnsi="Arial" w:cs="Arial"/>
                <w:color w:val="1A1A1A"/>
                <w:sz w:val="17"/>
                <w:szCs w:val="17"/>
              </w:rPr>
              <w:t>BCite</w:t>
            </w:r>
            <w:proofErr w:type="spellEnd"/>
            <w:r>
              <w:rPr>
                <w:rFonts w:ascii="Arial" w:eastAsia="Arial" w:hAnsi="Arial" w:cs="Arial"/>
                <w:color w:val="1A1A1A"/>
                <w:sz w:val="17"/>
                <w:szCs w:val="17"/>
              </w:rPr>
              <w:t xml:space="preserve"> to find the cases that cite or apply it.</w:t>
            </w:r>
          </w:p>
          <w:p w14:paraId="20E02755"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Notes of Decisions. </w:t>
            </w:r>
            <w:r>
              <w:rPr>
                <w:rFonts w:ascii="Arial" w:eastAsia="Arial" w:hAnsi="Arial" w:cs="Arial"/>
                <w:color w:val="1A1A1A"/>
                <w:sz w:val="17"/>
                <w:szCs w:val="17"/>
              </w:rPr>
              <w:t>Review the annotated case summaries that follow the provision.</w:t>
            </w:r>
          </w:p>
          <w:p w14:paraId="5251B5A7" w14:textId="77777777" w:rsidR="00F363CB" w:rsidRDefault="002C2425">
            <w:pPr>
              <w:keepNext/>
              <w:spacing w:before="40" w:after="20"/>
            </w:pPr>
            <w:r>
              <w:rPr>
                <w:rFonts w:ascii="Arial" w:eastAsia="Arial" w:hAnsi="Arial" w:cs="Arial"/>
                <w:b/>
                <w:bCs/>
                <w:color w:val="1E407C"/>
                <w:sz w:val="18"/>
                <w:szCs w:val="18"/>
              </w:rPr>
              <w:t>Additional secondary sources</w:t>
            </w:r>
          </w:p>
          <w:p w14:paraId="23B2B657"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Treatises and practice guides. </w:t>
            </w:r>
            <w:r>
              <w:rPr>
                <w:rFonts w:ascii="Arial" w:eastAsia="Arial" w:hAnsi="Arial" w:cs="Arial"/>
                <w:color w:val="1A1A1A"/>
                <w:sz w:val="17"/>
                <w:szCs w:val="17"/>
              </w:rPr>
              <w:t xml:space="preserve">Read a second treatise or practice guide, and follow its footnotes to primary authority.</w:t>
            </w:r>
          </w:p>
          <w:p w14:paraId="23B2B657"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Law review articles. </w:t>
            </w:r>
            <w:r>
              <w:rPr>
                <w:rFonts w:ascii="Arial" w:eastAsia="Arial" w:hAnsi="Arial" w:cs="Arial"/>
                <w:color w:val="1A1A1A"/>
                <w:sz w:val="17"/>
                <w:szCs w:val="17"/>
              </w:rPr>
              <w:t xml:space="preserve">Find a recent article, and use its footnotes to find authorities.</w:t>
            </w:r>
          </w:p>
          <w:p w14:paraId="23B2B657"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Legal encyclopedias. </w:t>
            </w:r>
            <w:r>
              <w:rPr>
                <w:rFonts w:ascii="Arial" w:eastAsia="Arial" w:hAnsi="Arial" w:cs="Arial"/>
                <w:color w:val="1A1A1A"/>
                <w:sz w:val="17"/>
                <w:szCs w:val="17"/>
              </w:rPr>
              <w:t xml:space="preserve">Read Am. Jur. 2d or C.J.S. for an overview and the leading cases.</w:t>
            </w:r>
          </w:p>
          <w:p w14:paraId="23B2B657"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ALR annotations. </w:t>
            </w:r>
            <w:r>
              <w:rPr>
                <w:rFonts w:ascii="Arial" w:eastAsia="Arial" w:hAnsi="Arial" w:cs="Arial"/>
                <w:color w:val="1A1A1A"/>
                <w:sz w:val="17"/>
                <w:szCs w:val="17"/>
              </w:rPr>
              <w:t xml:space="preserve">Find an annotation; it collects cases from many jurisdictions on one narrow question.</w:t>
            </w:r>
          </w:p>
          <w:p w14:paraId="5251B5A7" w14:textId="77777777" w:rsidR="00F363CB" w:rsidRDefault="002C2425">
            <w:pPr>
              <w:keepNext/>
              <w:spacing w:before="40" w:after="20"/>
            </w:pPr>
            <w:r>
              <w:rPr>
                <w:rFonts w:ascii="Arial" w:eastAsia="Arial" w:hAnsi="Arial" w:cs="Arial"/>
                <w:b/>
                <w:bCs/>
                <w:color w:val="1E407C"/>
                <w:sz w:val="18"/>
                <w:szCs w:val="18"/>
              </w:rPr>
              <w:t>Cutting-edge search</w:t>
            </w:r>
          </w:p>
          <w:p w14:paraId="23B2B657"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Parallel Search (Westlaw). </w:t>
            </w:r>
            <w:r>
              <w:rPr>
                <w:rFonts w:ascii="Arial" w:eastAsia="Arial" w:hAnsi="Arial" w:cs="Arial"/>
                <w:color w:val="1A1A1A"/>
                <w:sz w:val="17"/>
                <w:szCs w:val="17"/>
              </w:rPr>
              <w:t>Find cases that discuss the same concept in different words.</w:t>
            </w:r>
          </w:p>
          <w:p w14:paraId="1A09E5F3"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Ravel View (Lexis). </w:t>
            </w:r>
            <w:r>
              <w:rPr>
                <w:rFonts w:ascii="Arial" w:eastAsia="Arial" w:hAnsi="Arial" w:cs="Arial"/>
                <w:color w:val="1A1A1A"/>
                <w:sz w:val="17"/>
                <w:szCs w:val="17"/>
              </w:rPr>
              <w:t>See which cases cite one another and which are cited most often.</w:t>
            </w:r>
          </w:p>
          <w:p w14:paraId="08C7538D" w14:textId="77777777" w:rsidR="00F363CB" w:rsidRDefault="002C2425">
            <w:pPr>
              <w:keepNext/>
              <w:spacing w:before="40" w:after="20"/>
            </w:pPr>
            <w:r>
              <w:rPr>
                <w:rFonts w:ascii="Arial" w:eastAsia="Arial" w:hAnsi="Arial" w:cs="Arial"/>
                <w:b/>
                <w:bCs/>
                <w:color w:val="1E407C"/>
                <w:sz w:val="18"/>
                <w:szCs w:val="18"/>
              </w:rPr>
              <w:t>Basic search</w:t>
            </w:r>
          </w:p>
          <w:p w14:paraId="61DD0B82"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Terms and connectors. </w:t>
            </w:r>
            <w:r>
              <w:rPr>
                <w:rFonts w:ascii="Arial" w:eastAsia="Arial" w:hAnsi="Arial" w:cs="Arial"/>
                <w:color w:val="1A1A1A"/>
                <w:sz w:val="17"/>
                <w:szCs w:val="17"/>
              </w:rPr>
              <w:t>Run a Boolean search with precise terms.</w:t>
            </w:r>
          </w:p>
          <w:p w14:paraId="780F5869"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Natural language. </w:t>
            </w:r>
            <w:r>
              <w:rPr>
                <w:rFonts w:ascii="Arial" w:eastAsia="Arial" w:hAnsi="Arial" w:cs="Arial"/>
                <w:color w:val="1A1A1A"/>
                <w:sz w:val="17"/>
                <w:szCs w:val="17"/>
              </w:rPr>
              <w:t>Run a plain-language search to catch terms you did not think of.</w:t>
            </w:r>
          </w:p>
          <w:p w14:paraId="7FBF9A58" w14:textId="77777777" w:rsidR="00F363CB" w:rsidRDefault="002C2425">
            <w:pPr>
              <w:keepNext/>
              <w:spacing w:before="40" w:after="20"/>
            </w:pPr>
            <w:r>
              <w:rPr>
                <w:rFonts w:ascii="Arial" w:eastAsia="Arial" w:hAnsi="Arial" w:cs="Arial"/>
                <w:b/>
                <w:bCs/>
                <w:color w:val="1E407C"/>
                <w:sz w:val="18"/>
                <w:szCs w:val="18"/>
              </w:rPr>
              <w:t>Verify with a citator</w:t>
            </w:r>
          </w:p>
          <w:p w14:paraId="780F5869" w14:textId="77777777" w:rsidR="00F363CB" w:rsidRDefault="002C2425">
            <w:pPr>
              <w:pStyle w:val="ListParagraph"/>
              <w:numPr>
                <w:ilvl w:val="0"/>
                <w:numId w:val="2"/>
              </w:numPr>
              <w:spacing w:after="20" w:line="235" w:lineRule="auto"/>
            </w:pPr>
            <w:r>
              <w:rPr>
                <w:rFonts w:ascii="Arial" w:eastAsia="Arial" w:hAnsi="Arial" w:cs="Arial"/>
                <w:b/>
                <w:bCs/>
                <w:color w:val="1A1A1A"/>
                <w:sz w:val="17"/>
                <w:szCs w:val="17"/>
              </w:rPr>
              <w:t xml:space="preserve">Good law. </w:t>
            </w:r>
            <w:r>
              <w:rPr>
                <w:rFonts w:ascii="Arial" w:eastAsia="Arial" w:hAnsi="Arial" w:cs="Arial"/>
                <w:color w:val="1A1A1A"/>
                <w:sz w:val="17"/>
                <w:szCs w:val="17"/>
              </w:rPr>
              <w:t xml:space="preserve">Run every authority that you rely on through KeyCite, Shepard’s, or BCite to confirm that it is still good law.</w:t>
            </w:r>
          </w:p>
        </w:tc>
      </w:tr>
    </w:tbl>
    <w:p>
      <w:pPr>
        <w:spacing w:before="0" w:after="0" w:line="20" w:lineRule="exact"/>
        <w:rPr>
          <w:sz w:val="2"/>
          <w:szCs w:val="2"/>
        </w:rPr>
      </w:pPr>
    </w:p>
    <w:sectPr w:rsidR="002C2425">
      <w:pgSz w:w="15840" w:h="12240" w:orient="landscape"/>
      <w:pgMar w:top="576" w:right="720" w:bottom="432"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D4E7D"/>
    <w:multiLevelType w:val="hybridMultilevel"/>
    <w:tmpl w:val="D0F4AA00"/>
    <w:lvl w:ilvl="0" w:tplc="6540DC5A">
      <w:start w:val="1"/>
      <w:numFmt w:val="decimal"/>
      <w:lvlText w:val="%1."/>
      <w:lvlJc w:val="left"/>
      <w:pPr>
        <w:ind w:left="280" w:hanging="280"/>
      </w:pPr>
      <w:rPr>
        <w:rFonts w:ascii="Arial" w:eastAsia="Arial" w:hAnsi="Arial" w:cs="Arial"/>
        <w:b/>
        <w:bCs/>
        <w:color w:val="174F27"/>
        <w:sz w:val="17"/>
        <w:szCs w:val="17"/>
      </w:rPr>
    </w:lvl>
    <w:lvl w:ilvl="1" w:tplc="FE2097B8">
      <w:numFmt w:val="decimal"/>
      <w:lvlText w:val=""/>
      <w:lvlJc w:val="left"/>
    </w:lvl>
    <w:lvl w:ilvl="2" w:tplc="D1789B32">
      <w:numFmt w:val="decimal"/>
      <w:lvlText w:val=""/>
      <w:lvlJc w:val="left"/>
    </w:lvl>
    <w:lvl w:ilvl="3" w:tplc="718807EE">
      <w:numFmt w:val="decimal"/>
      <w:lvlText w:val=""/>
      <w:lvlJc w:val="left"/>
    </w:lvl>
    <w:lvl w:ilvl="4" w:tplc="8C6C9FDC">
      <w:numFmt w:val="decimal"/>
      <w:lvlText w:val=""/>
      <w:lvlJc w:val="left"/>
    </w:lvl>
    <w:lvl w:ilvl="5" w:tplc="6046B396">
      <w:numFmt w:val="decimal"/>
      <w:lvlText w:val=""/>
      <w:lvlJc w:val="left"/>
    </w:lvl>
    <w:lvl w:ilvl="6" w:tplc="01E4C25A">
      <w:numFmt w:val="decimal"/>
      <w:lvlText w:val=""/>
      <w:lvlJc w:val="left"/>
    </w:lvl>
    <w:lvl w:ilvl="7" w:tplc="905CA2BC">
      <w:numFmt w:val="decimal"/>
      <w:lvlText w:val=""/>
      <w:lvlJc w:val="left"/>
    </w:lvl>
    <w:lvl w:ilvl="8" w:tplc="ABBE0A1E">
      <w:numFmt w:val="decimal"/>
      <w:lvlText w:val=""/>
      <w:lvlJc w:val="left"/>
    </w:lvl>
  </w:abstractNum>
  <w:abstractNum w:abstractNumId="1" w15:restartNumberingAfterBreak="0">
    <w:nsid w:val="76A97725"/>
    <w:multiLevelType w:val="hybridMultilevel"/>
    <w:tmpl w:val="45F4160C"/>
    <w:lvl w:ilvl="0" w:tplc="0A221D26">
      <w:start w:val="1"/>
      <w:numFmt w:val="bullet"/>
      <w:lvlText w:val="●"/>
      <w:lvlJc w:val="left"/>
      <w:pPr>
        <w:ind w:left="230" w:hanging="200"/>
      </w:pPr>
      <w:rPr>
        <w:color w:val="174F27"/>
        <w:sz w:val="12"/>
        <w:szCs w:val="12"/>
      </w:rPr>
    </w:lvl>
    <w:lvl w:ilvl="1" w:tplc="9370BF4C">
      <w:numFmt w:val="decimal"/>
      <w:lvlText w:val=""/>
      <w:lvlJc w:val="left"/>
    </w:lvl>
    <w:lvl w:ilvl="2" w:tplc="4F2EF66A">
      <w:numFmt w:val="decimal"/>
      <w:lvlText w:val=""/>
      <w:lvlJc w:val="left"/>
    </w:lvl>
    <w:lvl w:ilvl="3" w:tplc="D408F44C">
      <w:numFmt w:val="decimal"/>
      <w:lvlText w:val=""/>
      <w:lvlJc w:val="left"/>
    </w:lvl>
    <w:lvl w:ilvl="4" w:tplc="89D899F4">
      <w:numFmt w:val="decimal"/>
      <w:lvlText w:val=""/>
      <w:lvlJc w:val="left"/>
    </w:lvl>
    <w:lvl w:ilvl="5" w:tplc="A5D213EC">
      <w:numFmt w:val="decimal"/>
      <w:lvlText w:val=""/>
      <w:lvlJc w:val="left"/>
    </w:lvl>
    <w:lvl w:ilvl="6" w:tplc="8C623676">
      <w:numFmt w:val="decimal"/>
      <w:lvlText w:val=""/>
      <w:lvlJc w:val="left"/>
    </w:lvl>
    <w:lvl w:ilvl="7" w:tplc="982090F0">
      <w:numFmt w:val="decimal"/>
      <w:lvlText w:val=""/>
      <w:lvlJc w:val="left"/>
    </w:lvl>
    <w:lvl w:ilvl="8" w:tplc="DF86DD06">
      <w:numFmt w:val="decimal"/>
      <w:lvlText w:val=""/>
      <w:lvlJc w:val="left"/>
    </w:lvl>
  </w:abstractNum>
  <w:abstractNum w:abstractNumId="2" w15:restartNumberingAfterBreak="0">
    <w:nsid w:val="7E1659C7"/>
    <w:multiLevelType w:val="hybridMultilevel"/>
    <w:tmpl w:val="D75A3998"/>
    <w:lvl w:ilvl="0" w:tplc="E698DA38">
      <w:start w:val="1"/>
      <w:numFmt w:val="bullet"/>
      <w:lvlText w:val="●"/>
      <w:lvlJc w:val="left"/>
      <w:pPr>
        <w:ind w:left="720" w:hanging="360"/>
      </w:pPr>
    </w:lvl>
    <w:lvl w:ilvl="1" w:tplc="28C2EA48">
      <w:start w:val="1"/>
      <w:numFmt w:val="bullet"/>
      <w:lvlText w:val="○"/>
      <w:lvlJc w:val="left"/>
      <w:pPr>
        <w:ind w:left="1440" w:hanging="360"/>
      </w:pPr>
    </w:lvl>
    <w:lvl w:ilvl="2" w:tplc="5C56D6CC">
      <w:start w:val="1"/>
      <w:numFmt w:val="bullet"/>
      <w:lvlText w:val="■"/>
      <w:lvlJc w:val="left"/>
      <w:pPr>
        <w:ind w:left="2160" w:hanging="360"/>
      </w:pPr>
    </w:lvl>
    <w:lvl w:ilvl="3" w:tplc="0718A57C">
      <w:start w:val="1"/>
      <w:numFmt w:val="bullet"/>
      <w:lvlText w:val="●"/>
      <w:lvlJc w:val="left"/>
      <w:pPr>
        <w:ind w:left="2880" w:hanging="360"/>
      </w:pPr>
    </w:lvl>
    <w:lvl w:ilvl="4" w:tplc="1F3A800A">
      <w:start w:val="1"/>
      <w:numFmt w:val="bullet"/>
      <w:lvlText w:val="○"/>
      <w:lvlJc w:val="left"/>
      <w:pPr>
        <w:ind w:left="3600" w:hanging="360"/>
      </w:pPr>
    </w:lvl>
    <w:lvl w:ilvl="5" w:tplc="945E4F1E">
      <w:start w:val="1"/>
      <w:numFmt w:val="bullet"/>
      <w:lvlText w:val="■"/>
      <w:lvlJc w:val="left"/>
      <w:pPr>
        <w:ind w:left="4320" w:hanging="360"/>
      </w:pPr>
    </w:lvl>
    <w:lvl w:ilvl="6" w:tplc="95706CFE">
      <w:start w:val="1"/>
      <w:numFmt w:val="bullet"/>
      <w:lvlText w:val="●"/>
      <w:lvlJc w:val="left"/>
      <w:pPr>
        <w:ind w:left="5040" w:hanging="360"/>
      </w:pPr>
    </w:lvl>
    <w:lvl w:ilvl="7" w:tplc="B15827B8">
      <w:start w:val="1"/>
      <w:numFmt w:val="bullet"/>
      <w:lvlText w:val="●"/>
      <w:lvlJc w:val="left"/>
      <w:pPr>
        <w:ind w:left="5760" w:hanging="360"/>
      </w:pPr>
    </w:lvl>
    <w:lvl w:ilvl="8" w:tplc="01C07C9E">
      <w:start w:val="1"/>
      <w:numFmt w:val="bullet"/>
      <w:lvlText w:val="●"/>
      <w:lvlJc w:val="left"/>
      <w:pPr>
        <w:ind w:left="6480" w:hanging="360"/>
      </w:pPr>
    </w:lvl>
  </w:abstractNum>
  <w:num w:numId="1" w16cid:durableId="462501793">
    <w:abstractNumId w:val="2"/>
    <w:lvlOverride w:ilvl="0">
      <w:startOverride w:val="1"/>
    </w:lvlOverride>
  </w:num>
  <w:num w:numId="2" w16cid:durableId="427581025">
    <w:abstractNumId w:val="1"/>
    <w:lvlOverride w:ilvl="0">
      <w:startOverride w:val="1"/>
    </w:lvlOverride>
  </w:num>
  <w:num w:numId="3" w16cid:durableId="308051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3CB"/>
    <w:rsid w:val="001A0D83"/>
    <w:rsid w:val="002C2425"/>
    <w:rsid w:val="003E7311"/>
    <w:rsid w:val="00670278"/>
    <w:rsid w:val="00CC636A"/>
    <w:rsid w:val="00F36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9A85"/>
  <w15:docId w15:val="{9FEE5B6E-750F-402B-8CAF-535BE423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539</Words>
  <Characters>2809</Characters>
  <Application>Microsoft Office Word</Application>
  <DocSecurity>0</DocSecurity>
  <Lines>48</Lines>
  <Paragraphs>25</Paragraphs>
  <ScaleCrop>false</ScaleCrop>
  <HeadingPairs>
    <vt:vector size="2" baseType="variant">
      <vt:variant>
        <vt:lpstr>Title</vt:lpstr>
      </vt:variant>
      <vt:variant>
        <vt:i4>1</vt:i4>
      </vt:variant>
    </vt:vector>
  </HeadingPairs>
  <TitlesOfParts>
    <vt:vector size="1" baseType="lpstr">
      <vt:lpstr>The Final Project: Grading, Policies, and Research Skills</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Final Project: Grading, Policies, and Research Skills</dc:title>
  <dc:creator>Julie Tedjeske Crane</dc:creator>
  <cp:lastModifiedBy>Tedjeske Crane, Julie</cp:lastModifiedBy>
  <cp:revision>2</cp:revision>
  <dcterms:created xsi:type="dcterms:W3CDTF">2026-10-18T18:30:00Z</dcterms:created>
  <dcterms:modified xsi:type="dcterms:W3CDTF">2026-10-18T18:30:00Z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1bd8c81f47aaafcf0dced1e192a05c6a805635b848755871688ccc93457b5859</vt:lpwstr>
  </property>
</Properties>
</file>