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Arial" w:cs="Arial" w:eastAsia="Arial" w:hAnsi="Arial"/>
          <w:sz w:val="20"/>
          <w:szCs w:val="20"/>
        </w:rPr>
        <w:t xml:space="preserve">AI and Legal Research, Week 1, Fall 2026</w:t>
      </w:r>
    </w:p>
    <w:p>
      <w:pPr>
        <w:pBdr>
          <w:bottom w:val="single" w:color="D5DFEB" w:sz="6" w:space="4"/>
        </w:pBdr>
        <w:spacing w:after="40" w:before="80"/>
        <w:jc w:val="center"/>
      </w:pPr>
      <w:r>
        <w:rPr>
          <w:rFonts w:ascii="Arial" w:cs="Arial" w:eastAsia="Arial" w:hAnsi="Arial"/>
          <w:b/>
          <w:bCs/>
          <w:color w:val="001E44"/>
          <w:sz w:val="30"/>
          <w:szCs w:val="30"/>
        </w:rPr>
        <w:t xml:space="preserve">Basic Terms Associated with AI and Legal Research</w:t>
      </w:r>
    </w:p>
    <w:p>
      <w:pPr>
        <w:spacing w:after="0" w:before="120" w:line="250"/>
      </w:pPr>
      <w:r>
        <w:rPr>
          <w:rFonts w:ascii="Arial" w:cs="Arial" w:eastAsia="Arial" w:hAnsi="Arial"/>
          <w:b/>
          <w:bCs/>
          <w:color w:val="1E407C"/>
          <w:sz w:val="22"/>
          <w:szCs w:val="22"/>
        </w:rPr>
        <w:t xml:space="preserve">Large language model (LLM). </w:t>
      </w:r>
      <w:r>
        <w:rPr>
          <w:rFonts w:ascii="Arial" w:cs="Arial" w:eastAsia="Arial" w:hAnsi="Arial"/>
          <w:sz w:val="22"/>
          <w:szCs w:val="22"/>
        </w:rPr>
        <w:t xml:space="preserve">“A prediction engine built on a transformer-based artificial neural network architecture, trained on enormous datasets to predict what text should come next in a sequence. LLMs do not retrieve stored information; they generate responses word by word based on patterns in their training data.”</w:t>
      </w:r>
      <w:r>
        <w:rPr>
          <w:rFonts w:ascii="Arial" w:cs="Arial" w:eastAsia="Arial" w:hAnsi="Arial"/>
          <w:color w:val="555555"/>
          <w:sz w:val="18"/>
          <w:szCs w:val="18"/>
        </w:rPr>
        <w:t xml:space="preserve"> (Munsterman at xx)</w:t>
      </w:r>
    </w:p>
    <w:p>
      <w:pPr>
        <w:spacing w:after="0" w:before="120" w:line="250"/>
      </w:pPr>
      <w:r>
        <w:rPr>
          <w:rFonts w:ascii="Arial" w:cs="Arial" w:eastAsia="Arial" w:hAnsi="Arial"/>
          <w:b/>
          <w:bCs/>
          <w:color w:val="1E407C"/>
          <w:sz w:val="22"/>
          <w:szCs w:val="22"/>
        </w:rPr>
        <w:t xml:space="preserve">Prediction. </w:t>
      </w:r>
      <w:r>
        <w:rPr>
          <w:rFonts w:ascii="Arial" w:cs="Arial" w:eastAsia="Arial" w:hAnsi="Arial"/>
          <w:sz w:val="22"/>
          <w:szCs w:val="22"/>
        </w:rPr>
        <w:t xml:space="preserve">An LLM does not look up an answer. When you send a prompt, the model generates its response one token at a time, choosing each next token by the patterns it learned during training about which words tend to follow which. Munsterman calls an LLM </w:t>
      </w:r>
      <w:r>
        <w:rPr>
          <w:rFonts w:ascii="Arial" w:cs="Arial" w:eastAsia="Arial" w:hAnsi="Arial"/>
          <w:sz w:val="22"/>
          <w:szCs w:val="22"/>
        </w:rPr>
        <w:t xml:space="preserve">“the world’s most sophisticated autocomplete function”</w:t>
      </w:r>
      <w:r>
        <w:rPr>
          <w:rFonts w:ascii="Arial" w:cs="Arial" w:eastAsia="Arial" w:hAnsi="Arial"/>
          <w:sz w:val="22"/>
          <w:szCs w:val="22"/>
        </w:rPr>
        <w:t xml:space="preserve">. Because the answer is a prediction, it can be fluent and wrong at the same time.</w:t>
      </w:r>
      <w:r>
        <w:rPr>
          <w:rFonts w:ascii="Arial" w:cs="Arial" w:eastAsia="Arial" w:hAnsi="Arial"/>
          <w:color w:val="555555"/>
          <w:sz w:val="18"/>
          <w:szCs w:val="18"/>
        </w:rPr>
        <w:t xml:space="preserve"> (Munsterman at 22)</w:t>
      </w:r>
    </w:p>
    <w:p>
      <w:pPr>
        <w:pBdr>
          <w:left w:val="single" w:color="1E407C" w:sz="18" w:space="8"/>
        </w:pBdr>
        <w:shd w:fill="F0F4F9" w:color="auto" w:val="clear"/>
        <w:spacing w:after="0" w:before="60" w:line="240"/>
        <w:ind w:left="120" w:right="120"/>
      </w:pPr>
      <w:r>
        <w:rPr>
          <w:rFonts w:ascii="Arial" w:cs="Arial" w:eastAsia="Arial" w:hAnsi="Arial"/>
          <w:b/>
          <w:bCs/>
          <w:color w:val="1E407C"/>
          <w:sz w:val="22"/>
          <w:szCs w:val="22"/>
        </w:rPr>
        <w:t xml:space="preserve">Try it: </w:t>
      </w:r>
      <w:r>
        <w:rPr>
          <w:rFonts w:ascii="Arial" w:cs="Arial" w:eastAsia="Arial" w:hAnsi="Arial"/>
          <w:sz w:val="22"/>
          <w:szCs w:val="22"/>
        </w:rPr>
        <w:t xml:space="preserve">Watch a small model predict tokens at </w:t>
      </w:r>
      <w:hyperlink w:history="1" r:id="rIdtx7mgewztihwf6xk3nrun">
        <w:r>
          <w:rPr>
            <w:rStyle w:val="Hyperlink"/>
            <w:rFonts w:ascii="Arial" w:cs="Arial" w:eastAsia="Arial" w:hAnsi="Arial"/>
            <w:sz w:val="22"/>
            <w:szCs w:val="22"/>
          </w:rPr>
          <w:t xml:space="preserve">https://caslaskowski.github.io/ai-workbench/</w:t>
        </w:r>
      </w:hyperlink>
    </w:p>
    <w:p>
      <w:pPr>
        <w:spacing w:after="0" w:before="120" w:line="250"/>
      </w:pPr>
      <w:r>
        <w:rPr>
          <w:rFonts w:ascii="Arial" w:cs="Arial" w:eastAsia="Arial" w:hAnsi="Arial"/>
          <w:b/>
          <w:bCs/>
          <w:color w:val="1E407C"/>
          <w:sz w:val="22"/>
          <w:szCs w:val="22"/>
        </w:rPr>
        <w:t xml:space="preserve">Pretraining. </w:t>
      </w:r>
      <w:r>
        <w:rPr>
          <w:rFonts w:ascii="Arial" w:cs="Arial" w:eastAsia="Arial" w:hAnsi="Arial"/>
          <w:sz w:val="22"/>
          <w:szCs w:val="22"/>
        </w:rPr>
        <w:t xml:space="preserve">The first stage of training. The model reads billions of text examples and learns to predict the next token in each one. Munsterman’s example is the sequence </w:t>
      </w:r>
      <w:r>
        <w:rPr>
          <w:rFonts w:ascii="Arial" w:cs="Arial" w:eastAsia="Arial" w:hAnsi="Arial"/>
          <w:sz w:val="22"/>
          <w:szCs w:val="22"/>
        </w:rPr>
        <w:t xml:space="preserve">“The court granted the motion to ___”</w:t>
      </w:r>
      <w:r>
        <w:rPr>
          <w:rFonts w:ascii="Arial" w:cs="Arial" w:eastAsia="Arial" w:hAnsi="Arial"/>
          <w:sz w:val="22"/>
          <w:szCs w:val="22"/>
        </w:rPr>
        <w:t xml:space="preserve">, from which the model learns that “dismiss” is far more likely than “dance.” Pretraining teaches grammar, facts, and domain vocabulary, but not how to follow instructions or behave helpfully.</w:t>
      </w:r>
      <w:r>
        <w:rPr>
          <w:rFonts w:ascii="Arial" w:cs="Arial" w:eastAsia="Arial" w:hAnsi="Arial"/>
          <w:color w:val="555555"/>
          <w:sz w:val="18"/>
          <w:szCs w:val="18"/>
        </w:rPr>
        <w:t xml:space="preserve"> (Munsterman at 24)</w:t>
      </w:r>
    </w:p>
    <w:p>
      <w:pPr>
        <w:spacing w:after="0" w:before="120" w:line="250"/>
      </w:pPr>
      <w:r>
        <w:rPr>
          <w:rFonts w:ascii="Arial" w:cs="Arial" w:eastAsia="Arial" w:hAnsi="Arial"/>
          <w:b/>
          <w:bCs/>
          <w:color w:val="1E407C"/>
          <w:sz w:val="22"/>
          <w:szCs w:val="22"/>
        </w:rPr>
        <w:t xml:space="preserve">Refinement (fine-tuning and RLHF). </w:t>
      </w:r>
      <w:r>
        <w:rPr>
          <w:rFonts w:ascii="Arial" w:cs="Arial" w:eastAsia="Arial" w:hAnsi="Arial"/>
          <w:sz w:val="22"/>
          <w:szCs w:val="22"/>
        </w:rPr>
        <w:t xml:space="preserve">The later stages of training, which the Week 1 slides call refinement. After pretraining, the developer fine-tunes the model on human-written examples so that it follows instructions and holds a dialog, and then applies reinforcement learning from human feedback, in which </w:t>
      </w:r>
      <w:r>
        <w:rPr>
          <w:rFonts w:ascii="Arial" w:cs="Arial" w:eastAsia="Arial" w:hAnsi="Arial"/>
          <w:sz w:val="22"/>
          <w:szCs w:val="22"/>
        </w:rPr>
        <w:t xml:space="preserve">“human evaluators rank different model outputs, and the system learns to prefer responses that humans rate more highly”</w:t>
      </w:r>
      <w:r>
        <w:rPr>
          <w:rFonts w:ascii="Arial" w:cs="Arial" w:eastAsia="Arial" w:hAnsi="Arial"/>
          <w:sz w:val="22"/>
          <w:szCs w:val="22"/>
        </w:rPr>
        <w:t xml:space="preserve">. This stage shapes the model’s tone, so a model can sound confident when its prediction is wrong.</w:t>
      </w:r>
      <w:r>
        <w:rPr>
          <w:rFonts w:ascii="Arial" w:cs="Arial" w:eastAsia="Arial" w:hAnsi="Arial"/>
          <w:color w:val="555555"/>
          <w:sz w:val="18"/>
          <w:szCs w:val="18"/>
        </w:rPr>
        <w:t xml:space="preserve"> (Munsterman at 24)</w:t>
      </w:r>
    </w:p>
    <w:p>
      <w:pPr>
        <w:spacing w:after="0" w:before="120" w:line="250"/>
      </w:pPr>
      <w:r>
        <w:rPr>
          <w:rFonts w:ascii="Arial" w:cs="Arial" w:eastAsia="Arial" w:hAnsi="Arial"/>
          <w:b/>
          <w:bCs/>
          <w:color w:val="1E407C"/>
          <w:sz w:val="22"/>
          <w:szCs w:val="22"/>
        </w:rPr>
        <w:t xml:space="preserve">Token. </w:t>
      </w:r>
      <w:r>
        <w:rPr>
          <w:rFonts w:ascii="Arial" w:cs="Arial" w:eastAsia="Arial" w:hAnsi="Arial"/>
          <w:sz w:val="22"/>
          <w:szCs w:val="22"/>
        </w:rPr>
        <w:t xml:space="preserve">“The basic unit of text that LLMs process. A token may be a whole word, part of a word, a punctuation mark, or a space, depending on the model’s tokenization algorithm. As a rough approximation, one token equals about three-quarters of an English word. Context windows, model pricing, and input/output limits are all measured in tokens rather than words or characters.”</w:t>
      </w:r>
      <w:r>
        <w:rPr>
          <w:rFonts w:ascii="Arial" w:cs="Arial" w:eastAsia="Arial" w:hAnsi="Arial"/>
          <w:color w:val="555555"/>
          <w:sz w:val="18"/>
          <w:szCs w:val="18"/>
        </w:rPr>
        <w:t xml:space="preserve"> (Munsterman at xxiii)</w:t>
      </w:r>
    </w:p>
    <w:p>
      <w:pPr>
        <w:pBdr>
          <w:left w:val="single" w:color="1E407C" w:sz="18" w:space="8"/>
        </w:pBdr>
        <w:shd w:fill="F0F4F9" w:color="auto" w:val="clear"/>
        <w:spacing w:after="0" w:before="60" w:line="240"/>
        <w:ind w:left="120" w:right="120"/>
      </w:pPr>
      <w:r>
        <w:rPr>
          <w:rFonts w:ascii="Arial" w:cs="Arial" w:eastAsia="Arial" w:hAnsi="Arial"/>
          <w:b/>
          <w:bCs/>
          <w:color w:val="1E407C"/>
          <w:sz w:val="22"/>
          <w:szCs w:val="22"/>
        </w:rPr>
        <w:t xml:space="preserve">Try it: </w:t>
      </w:r>
      <w:r>
        <w:rPr>
          <w:rFonts w:ascii="Arial" w:cs="Arial" w:eastAsia="Arial" w:hAnsi="Arial"/>
          <w:sz w:val="22"/>
          <w:szCs w:val="22"/>
        </w:rPr>
        <w:t xml:space="preserve">Paste a citation and count its tokens at </w:t>
      </w:r>
      <w:hyperlink w:history="1" r:id="rIddnhcpmym6n7mplgwzgldl">
        <w:r>
          <w:rPr>
            <w:rStyle w:val="Hyperlink"/>
            <w:rFonts w:ascii="Arial" w:cs="Arial" w:eastAsia="Arial" w:hAnsi="Arial"/>
            <w:sz w:val="22"/>
            <w:szCs w:val="22"/>
          </w:rPr>
          <w:t xml:space="preserve">https://platform.openai.com/tokenizer</w:t>
        </w:r>
      </w:hyperlink>
    </w:p>
    <w:p>
      <w:pPr>
        <w:spacing w:after="0" w:before="120" w:line="250"/>
      </w:pPr>
      <w:r>
        <w:rPr>
          <w:rFonts w:ascii="Arial" w:cs="Arial" w:eastAsia="Arial" w:hAnsi="Arial"/>
          <w:b/>
          <w:bCs/>
          <w:color w:val="1E407C"/>
          <w:sz w:val="22"/>
          <w:szCs w:val="22"/>
        </w:rPr>
        <w:t xml:space="preserve">Prompting. </w:t>
      </w:r>
      <w:r>
        <w:rPr>
          <w:rFonts w:ascii="Arial" w:cs="Arial" w:eastAsia="Arial" w:hAnsi="Arial"/>
          <w:sz w:val="22"/>
          <w:szCs w:val="22"/>
        </w:rPr>
        <w:t xml:space="preserve">“The practice of structuring input to an AI model in ways that produce useful output. Unlike a human collaborator who fills in gaps from shared experience, an LLM works only with what it is given explicitly. The skill is not just knowing what you want, but translating that into language the model can act on.”</w:t>
      </w:r>
      <w:r>
        <w:rPr>
          <w:rFonts w:ascii="Arial" w:cs="Arial" w:eastAsia="Arial" w:hAnsi="Arial"/>
          <w:color w:val="555555"/>
          <w:sz w:val="18"/>
          <w:szCs w:val="18"/>
        </w:rPr>
        <w:t xml:space="preserve"> (Munsterman at xxi)</w:t>
      </w:r>
    </w:p>
    <w:p>
      <w:pPr>
        <w:spacing w:after="0" w:before="120" w:line="250"/>
      </w:pPr>
      <w:r>
        <w:rPr>
          <w:rFonts w:ascii="Arial" w:cs="Arial" w:eastAsia="Arial" w:hAnsi="Arial"/>
          <w:b/>
          <w:bCs/>
          <w:color w:val="1E407C"/>
          <w:sz w:val="22"/>
          <w:szCs w:val="22"/>
        </w:rPr>
        <w:t xml:space="preserve">Retrieval-augmented generation (RAG). </w:t>
      </w:r>
      <w:r>
        <w:rPr>
          <w:rFonts w:ascii="Arial" w:cs="Arial" w:eastAsia="Arial" w:hAnsi="Arial"/>
          <w:sz w:val="22"/>
          <w:szCs w:val="22"/>
        </w:rPr>
        <w:t xml:space="preserve">“A technique in which specific documents or source materials are provided directly to the model along with a prompt, so the model grounds its response in those materials rather than relying on training data alone.”</w:t>
      </w:r>
      <w:r>
        <w:rPr>
          <w:rFonts w:ascii="Arial" w:cs="Arial" w:eastAsia="Arial" w:hAnsi="Arial"/>
          <w:sz w:val="22"/>
          <w:szCs w:val="22"/>
        </w:rPr>
        <w:t xml:space="preserve"> Westlaw, Lexis, CoCounsel, Harvey, and Protégé use RAG to retrieve from a legal database before the model writes. Munsterman adds: </w:t>
      </w:r>
      <w:r>
        <w:rPr>
          <w:rFonts w:ascii="Arial" w:cs="Arial" w:eastAsia="Arial" w:hAnsi="Arial"/>
          <w:sz w:val="22"/>
          <w:szCs w:val="22"/>
        </w:rPr>
        <w:t xml:space="preserve">“Despite vendor claims, RAG does not eliminate hallucinations.”</w:t>
      </w:r>
      <w:r>
        <w:rPr>
          <w:rFonts w:ascii="Arial" w:cs="Arial" w:eastAsia="Arial" w:hAnsi="Arial"/>
          <w:color w:val="555555"/>
          <w:sz w:val="18"/>
          <w:szCs w:val="18"/>
        </w:rPr>
        <w:t xml:space="preserve"> (Munsterman at xxi)</w:t>
      </w:r>
    </w:p>
    <w:p>
      <w:pPr>
        <w:spacing w:after="0" w:before="120" w:line="250"/>
      </w:pPr>
      <w:r>
        <w:rPr>
          <w:rFonts w:ascii="Arial" w:cs="Arial" w:eastAsia="Arial" w:hAnsi="Arial"/>
          <w:b/>
          <w:bCs/>
          <w:color w:val="1E407C"/>
          <w:sz w:val="22"/>
          <w:szCs w:val="22"/>
        </w:rPr>
        <w:t xml:space="preserve">Grounding. </w:t>
      </w:r>
      <w:r>
        <w:rPr>
          <w:rFonts w:ascii="Arial" w:cs="Arial" w:eastAsia="Arial" w:hAnsi="Arial"/>
          <w:sz w:val="22"/>
          <w:szCs w:val="22"/>
        </w:rPr>
        <w:t xml:space="preserve">“The practice of uploading specific documents, cases, or course materials to anchor an LLM’s response in those sources rather than in training data alone. Grounding substantially improves reliability because the model is working from provided text rather than reconstructing information from statistical patterns.”</w:t>
      </w:r>
      <w:r>
        <w:rPr>
          <w:rFonts w:ascii="Arial" w:cs="Arial" w:eastAsia="Arial" w:hAnsi="Arial"/>
          <w:sz w:val="22"/>
          <w:szCs w:val="22"/>
        </w:rPr>
        <w:t xml:space="preserve"> In a RAG system, grounding can fail when the retrieved documents are the wrong ones or when the model ignores them.</w:t>
      </w:r>
      <w:r>
        <w:rPr>
          <w:rFonts w:ascii="Arial" w:cs="Arial" w:eastAsia="Arial" w:hAnsi="Arial"/>
          <w:color w:val="555555"/>
          <w:sz w:val="18"/>
          <w:szCs w:val="18"/>
        </w:rPr>
        <w:t xml:space="preserve"> (Munsterman at xx)</w:t>
      </w:r>
    </w:p>
    <w:p>
      <w:pPr>
        <w:spacing w:after="0" w:before="120" w:line="240"/>
      </w:pPr>
      <w:r>
        <w:rPr>
          <w:rFonts w:ascii="Arial" w:cs="Arial" w:eastAsia="Arial" w:hAnsi="Arial"/>
          <w:color w:val="555555"/>
          <w:sz w:val="17"/>
          <w:szCs w:val="17"/>
        </w:rPr>
        <w:t xml:space="preserve">Source for every definition: Korin Munsterman, GenAI in Legal Education: A Practical Guide for Professors and Students (CALI eLangdell Press 2026), an open textbook published under a Creative Commons BY-NC-SA license, </w:t>
      </w:r>
      <w:hyperlink w:history="1" r:id="rIdyr7q9hk3wiv0qykwm3bth">
        <w:r>
          <w:rPr>
            <w:rStyle w:val="Hyperlink"/>
            <w:rFonts w:ascii="Arial" w:cs="Arial" w:eastAsia="Arial" w:hAnsi="Arial"/>
            <w:sz w:val="17"/>
            <w:szCs w:val="17"/>
          </w:rPr>
          <w:t xml:space="preserve">https://www.cali.org/books/genai-legal-education-practical-guide-professors-and-students</w:t>
        </w:r>
      </w:hyperlink>
      <w:r>
        <w:rPr>
          <w:rFonts w:ascii="Arial" w:cs="Arial" w:eastAsia="Arial" w:hAnsi="Arial"/>
          <w:color w:val="555555"/>
          <w:sz w:val="17"/>
          <w:szCs w:val="17"/>
        </w:rPr>
        <w:t xml:space="preserve">. Pinpoints refer to the book’s printed page numbers; roman numerals are the front-matter glossary.</w:t>
      </w:r>
    </w:p>
    <w:p>
      <w:pPr>
        <w:pageBreakBefore/>
        <w:spacing w:after="0"/>
        <w:jc w:val="right"/>
      </w:pPr>
      <w:r>
        <w:rPr>
          <w:rFonts w:ascii="Arial" w:cs="Arial" w:eastAsia="Arial" w:hAnsi="Arial"/>
          <w:sz w:val="20"/>
          <w:szCs w:val="20"/>
        </w:rPr>
        <w:t xml:space="preserve">AI and Legal Research, Week 1, Fall 2026</w:t>
      </w:r>
    </w:p>
    <w:p>
      <w:pPr>
        <w:spacing w:after="100" w:before="80"/>
        <w:jc w:val="center"/>
      </w:pPr>
      <w:r>
        <w:rPr>
          <w:rFonts w:ascii="Arial" w:cs="Arial" w:eastAsia="Arial" w:hAnsi="Arial"/>
          <w:b/>
          <w:bCs/>
          <w:color w:val="001E44"/>
          <w:sz w:val="30"/>
          <w:szCs w:val="30"/>
        </w:rPr>
        <w:t xml:space="preserve">Prompting AI Tools for Legal Research</w:t>
      </w:r>
    </w:p>
    <w:p>
      <w:pPr>
        <w:pStyle w:val="Heading2"/>
        <w:pBdr>
          <w:bottom w:val="single" w:color="D5DFEB" w:sz="6" w:space="2"/>
        </w:pBdr>
        <w:spacing w:after="30" w:before="80"/>
      </w:pPr>
      <w:r>
        <w:rPr>
          <w:rFonts w:ascii="Arial" w:cs="Arial" w:eastAsia="Arial" w:hAnsi="Arial"/>
          <w:b/>
          <w:bCs/>
          <w:color w:val="1E407C"/>
          <w:sz w:val="23"/>
          <w:szCs w:val="23"/>
        </w:rPr>
        <w:t xml:space="preserve">A general chatbot and a legal platform require different prompts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4262"/>
        <w:gridCol w:w="4262"/>
      </w:tblGrid>
      <w:tr>
        <w:trPr>
          <w:tblHeader/>
        </w:trPr>
        <w:tc>
          <w:tcPr>
            <w:tcW w:type="dxa" w:w="1700"/>
            <w:tcBorders>
              <w:top w:val="single" w:color="D5DFEB" w:sz="4"/>
              <w:left w:val="single" w:color="D5DFEB" w:sz="4"/>
              <w:bottom w:val="single" w:color="D5DFEB" w:sz="4"/>
              <w:right w:val="single" w:color="D5DFEB" w:sz="4"/>
            </w:tcBorders>
            <w:shd w:fill="001E44" w:color="auto" w:val="clear"/>
            <w:tcMar>
              <w:top w:type="dxa" w:w="40"/>
              <w:left w:type="dxa" w:w="90"/>
              <w:bottom w:type="dxa" w:w="40"/>
              <w:right w:type="dxa" w:w="90"/>
            </w:tcMar>
          </w:tcPr>
          <w:p>
            <w:pPr>
              <w:spacing w:after="0"/>
            </w:pPr>
            <w:r>
              <w:rPr>
                <w:rFonts w:ascii="Arial" w:cs="Arial" w:eastAsia="Arial" w:hAnsi="Arial"/>
                <w:b/>
                <w:bCs/>
                <w:color w:val="FFFFFF"/>
                <w:sz w:val="18"/>
                <w:szCs w:val="18"/>
              </w:rPr>
              <w:t xml:space="preserve"/>
            </w:r>
          </w:p>
        </w:tc>
        <w:tc>
          <w:tcPr>
            <w:tcW w:type="dxa" w:w="4262"/>
            <w:tcBorders>
              <w:top w:val="single" w:color="D5DFEB" w:sz="4"/>
              <w:left w:val="single" w:color="D5DFEB" w:sz="4"/>
              <w:bottom w:val="single" w:color="D5DFEB" w:sz="4"/>
              <w:right w:val="single" w:color="D5DFEB" w:sz="4"/>
            </w:tcBorders>
            <w:shd w:fill="001E44" w:color="auto" w:val="clear"/>
            <w:tcMar>
              <w:top w:type="dxa" w:w="40"/>
              <w:left w:type="dxa" w:w="90"/>
              <w:bottom w:type="dxa" w:w="40"/>
              <w:right w:type="dxa" w:w="90"/>
            </w:tcMar>
          </w:tcPr>
          <w:p>
            <w:pPr>
              <w:spacing w:after="0"/>
            </w:pPr>
            <w:r>
              <w:rPr>
                <w:rFonts w:ascii="Arial" w:cs="Arial" w:eastAsia="Arial" w:hAnsi="Arial"/>
                <w:b/>
                <w:bCs/>
                <w:color w:val="FFFFFF"/>
                <w:sz w:val="18"/>
                <w:szCs w:val="18"/>
              </w:rPr>
              <w:t xml:space="preserve">General chatbot (ChatGPT, Claude, Gemini, Copilot)</w:t>
            </w:r>
          </w:p>
        </w:tc>
        <w:tc>
          <w:tcPr>
            <w:tcW w:type="dxa" w:w="4262"/>
            <w:tcBorders>
              <w:top w:val="single" w:color="D5DFEB" w:sz="4"/>
              <w:left w:val="single" w:color="D5DFEB" w:sz="4"/>
              <w:bottom w:val="single" w:color="D5DFEB" w:sz="4"/>
              <w:right w:val="single" w:color="D5DFEB" w:sz="4"/>
            </w:tcBorders>
            <w:shd w:fill="001E44" w:color="auto" w:val="clear"/>
            <w:tcMar>
              <w:top w:type="dxa" w:w="40"/>
              <w:left w:type="dxa" w:w="90"/>
              <w:bottom w:type="dxa" w:w="40"/>
              <w:right w:type="dxa" w:w="90"/>
            </w:tcMar>
          </w:tcPr>
          <w:p>
            <w:pPr>
              <w:spacing w:after="0"/>
            </w:pPr>
            <w:r>
              <w:rPr>
                <w:rFonts w:ascii="Arial" w:cs="Arial" w:eastAsia="Arial" w:hAnsi="Arial"/>
                <w:b/>
                <w:bCs/>
                <w:color w:val="FFFFFF"/>
                <w:sz w:val="18"/>
                <w:szCs w:val="18"/>
              </w:rPr>
              <w:t xml:space="preserve">Legal platform (CoCounsel, Harvey, Protégé)</w:t>
            </w:r>
          </w:p>
        </w:tc>
      </w:tr>
      <w:tr>
        <w:tc>
          <w:tcPr>
            <w:tcW w:type="dxa" w:w="17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Confidentiality</w:t>
            </w:r>
          </w:p>
        </w:tc>
        <w:tc>
          <w:tcPr>
            <w:tcW w:type="dxa" w:w="4262"/>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Treat the tool as an outside party. Do not put a client's identifying facts into a consumer account, because the vendor may store or train on what you type, and a court could treat the disclosure as a waiver of privilege. Use an enterprise account when your employer provides one.</w:t>
            </w:r>
          </w:p>
        </w:tc>
        <w:tc>
          <w:tcPr>
            <w:tcW w:type="dxa" w:w="4262"/>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Expect stronger contractual protections, but still give the tool only the facts that the research issue needs.</w:t>
            </w:r>
          </w:p>
        </w:tc>
      </w:tr>
      <w:tr>
        <w:tc>
          <w:tcPr>
            <w:tcW w:type="dxa" w:w="17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Level of detail</w:t>
            </w:r>
          </w:p>
        </w:tc>
        <w:tc>
          <w:tcPr>
            <w:tcW w:type="dxa" w:w="4262"/>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The model needs context. Tell it who you are, what you need, the relevant facts, the output you want, and the limits on that output (see below).</w:t>
            </w:r>
          </w:p>
        </w:tc>
        <w:tc>
          <w:tcPr>
            <w:tcW w:type="dxa" w:w="4262"/>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State the research issue in one or two sentences, and stop. Long prompts and general-purpose prompting advice (personas, step-by-step instructions) can make the results worse.</w:t>
            </w:r>
          </w:p>
        </w:tc>
      </w:tr>
    </w:tbl>
    <w:p>
      <w:pPr>
        <w:pStyle w:val="Heading2"/>
        <w:pBdr>
          <w:bottom w:val="single" w:color="D5DFEB" w:sz="6" w:space="2"/>
        </w:pBdr>
        <w:spacing w:after="30" w:before="80"/>
      </w:pPr>
      <w:r>
        <w:rPr>
          <w:rFonts w:ascii="Arial" w:cs="Arial" w:eastAsia="Arial" w:hAnsi="Arial"/>
          <w:b/>
          <w:bCs/>
          <w:color w:val="1E407C"/>
          <w:sz w:val="23"/>
          <w:szCs w:val="23"/>
        </w:rPr>
        <w:t xml:space="preserve">Before you prompt, think about what you are doing: Learn, Build, or Polish</w:t>
      </w:r>
    </w:p>
    <w:p>
      <w:pPr>
        <w:pStyle w:val="ListParagraph"/>
        <w:numPr>
          <w:ilvl w:val="0"/>
          <w:numId w:val="2"/>
        </w:numPr>
        <w:spacing w:after="30" w:line="238"/>
      </w:pPr>
      <w:r>
        <w:rPr>
          <w:rFonts w:ascii="Arial" w:cs="Arial" w:eastAsia="Arial" w:hAnsi="Arial"/>
          <w:b/>
          <w:bCs/>
          <w:sz w:val="18"/>
          <w:szCs w:val="18"/>
        </w:rPr>
        <w:t xml:space="preserve">Learn. </w:t>
      </w:r>
      <w:r>
        <w:rPr>
          <w:rFonts w:ascii="Arial" w:cs="Arial" w:eastAsia="Arial" w:hAnsi="Arial"/>
          <w:sz w:val="18"/>
          <w:szCs w:val="18"/>
        </w:rPr>
        <w:t xml:space="preserve">You use the tool to understand an unfamiliar area or map the issues before you research. Quiz yourself for deeper learning.</w:t>
      </w:r>
    </w:p>
    <w:p>
      <w:pPr>
        <w:pStyle w:val="ListParagraph"/>
        <w:numPr>
          <w:ilvl w:val="0"/>
          <w:numId w:val="2"/>
        </w:numPr>
        <w:spacing w:after="30" w:line="238"/>
      </w:pPr>
      <w:r>
        <w:rPr>
          <w:rFonts w:ascii="Arial" w:cs="Arial" w:eastAsia="Arial" w:hAnsi="Arial"/>
          <w:b/>
          <w:bCs/>
          <w:sz w:val="18"/>
          <w:szCs w:val="18"/>
        </w:rPr>
        <w:t xml:space="preserve">Build. </w:t>
      </w:r>
      <w:r>
        <w:rPr>
          <w:rFonts w:ascii="Arial" w:cs="Arial" w:eastAsia="Arial" w:hAnsi="Arial"/>
          <w:sz w:val="18"/>
          <w:szCs w:val="18"/>
        </w:rPr>
        <w:t xml:space="preserve">You use the tool to produce something you will rely on. Give the tool context and instruction, and ask for a plan or outline before building. Verify everything.</w:t>
      </w:r>
    </w:p>
    <w:p>
      <w:pPr>
        <w:pStyle w:val="ListParagraph"/>
        <w:numPr>
          <w:ilvl w:val="0"/>
          <w:numId w:val="2"/>
        </w:numPr>
        <w:spacing w:after="30" w:line="238"/>
      </w:pPr>
      <w:r>
        <w:rPr>
          <w:rFonts w:ascii="Arial" w:cs="Arial" w:eastAsia="Arial" w:hAnsi="Arial"/>
          <w:b/>
          <w:bCs/>
          <w:sz w:val="18"/>
          <w:szCs w:val="18"/>
        </w:rPr>
        <w:t xml:space="preserve">Polish. </w:t>
      </w:r>
      <w:r>
        <w:rPr>
          <w:rFonts w:ascii="Arial" w:cs="Arial" w:eastAsia="Arial" w:hAnsi="Arial"/>
          <w:sz w:val="18"/>
          <w:szCs w:val="18"/>
        </w:rPr>
        <w:t xml:space="preserve">You give the tool work that you wrote and ask it to critique or tighten that work. Consider asking for the suggestions in a table or as tracked changes. You decide which suggestions to accept.</w:t>
      </w:r>
    </w:p>
    <w:p>
      <w:pPr>
        <w:spacing w:after="40" w:before="20"/>
      </w:pPr>
      <w:r>
        <w:rPr>
          <w:rFonts w:ascii="Arial" w:cs="Arial" w:eastAsia="Arial" w:hAnsi="Arial"/>
          <w:i/>
          <w:iCs/>
          <w:color w:val="555555"/>
          <w:sz w:val="16"/>
          <w:szCs w:val="16"/>
        </w:rPr>
        <w:t xml:space="preserve">Source: Tracy Norton &amp; Susan Tanner, Learn It. Build It. Polish It., GenAI for Law Students &amp; New Lawyers, Legal Writing Institute Virtual Conference (May 2026).</w:t>
      </w:r>
    </w:p>
    <w:p>
      <w:pPr>
        <w:pStyle w:val="Heading2"/>
        <w:pBdr>
          <w:bottom w:val="single" w:color="D5DFEB" w:sz="6" w:space="2"/>
        </w:pBdr>
        <w:spacing w:after="30" w:before="80"/>
      </w:pPr>
      <w:r>
        <w:rPr>
          <w:rFonts w:ascii="Arial" w:cs="Arial" w:eastAsia="Arial" w:hAnsi="Arial"/>
          <w:b/>
          <w:bCs/>
          <w:color w:val="1E407C"/>
          <w:sz w:val="23"/>
          <w:szCs w:val="23"/>
        </w:rPr>
        <w:t xml:space="preserve">Structure a prompt for a general chatbot in four parts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900"/>
        <w:gridCol w:w="8324"/>
      </w:tblGrid>
      <w:tr>
        <w:tc>
          <w:tcPr>
            <w:tcW w:type="dxa" w:w="19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Background and goal</w:t>
            </w:r>
          </w:p>
        </w:tc>
        <w:tc>
          <w:tcPr>
            <w:tcW w:type="dxa" w:w="8324"/>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“I am a law clerk preparing a partner for a first meeting with a client in a residential lease dispute in Pennsylvania.”</w:t>
            </w:r>
          </w:p>
        </w:tc>
      </w:tr>
      <w:tr>
        <w:tc>
          <w:tcPr>
            <w:tcW w:type="dxa" w:w="19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Relevant facts</w:t>
            </w:r>
          </w:p>
        </w:tc>
        <w:tc>
          <w:tcPr>
            <w:tcW w:type="dxa" w:w="8324"/>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“The tenant withheld two months of rent after the landlord did not repair the heat for six weeks in winter.”</w:t>
            </w:r>
          </w:p>
        </w:tc>
      </w:tr>
      <w:tr>
        <w:tc>
          <w:tcPr>
            <w:tcW w:type="dxa" w:w="19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Desired output</w:t>
            </w:r>
          </w:p>
        </w:tc>
        <w:tc>
          <w:tcPr>
            <w:tcW w:type="dxa" w:w="8324"/>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“A one-page list of questions for the client, grouped by topic.”</w:t>
            </w:r>
          </w:p>
        </w:tc>
      </w:tr>
      <w:tr>
        <w:tc>
          <w:tcPr>
            <w:tcW w:type="dxa" w:w="1900"/>
            <w:tcBorders>
              <w:top w:val="single" w:color="D5DFEB" w:sz="4"/>
              <w:left w:val="single" w:color="D5DFEB" w:sz="4"/>
              <w:bottom w:val="single" w:color="D5DFEB" w:sz="4"/>
              <w:right w:val="single" w:color="D5DFEB" w:sz="4"/>
            </w:tcBorders>
            <w:shd w:fill="F0F4F9" w:color="auto" w:val="clear"/>
            <w:tcMar>
              <w:top w:type="dxa" w:w="40"/>
              <w:left w:type="dxa" w:w="90"/>
              <w:bottom w:type="dxa" w:w="40"/>
              <w:right w:type="dxa" w:w="90"/>
            </w:tcMar>
          </w:tcPr>
          <w:p>
            <w:pPr>
              <w:spacing w:after="0"/>
            </w:pPr>
            <w:r>
              <w:rPr>
                <w:rFonts w:ascii="Arial" w:cs="Arial" w:eastAsia="Arial" w:hAnsi="Arial"/>
                <w:b/>
                <w:bCs/>
                <w:color w:val="1E407C"/>
                <w:sz w:val="18"/>
                <w:szCs w:val="18"/>
              </w:rPr>
              <w:t xml:space="preserve">Constraints</w:t>
            </w:r>
          </w:p>
        </w:tc>
        <w:tc>
          <w:tcPr>
            <w:tcW w:type="dxa" w:w="8324"/>
            <w:tcBorders>
              <w:top w:val="single" w:color="D5DFEB" w:sz="4"/>
              <w:left w:val="single" w:color="D5DFEB" w:sz="4"/>
              <w:bottom w:val="single" w:color="D5DFEB" w:sz="4"/>
              <w:right w:val="single" w:color="D5DFEB" w:sz="4"/>
            </w:tcBorders>
            <w:tcMar>
              <w:top w:type="dxa" w:w="40"/>
              <w:left w:type="dxa" w:w="90"/>
              <w:bottom w:type="dxa" w:w="40"/>
              <w:right w:type="dxa" w:w="90"/>
            </w:tcMar>
          </w:tcPr>
          <w:p>
            <w:pPr>
              <w:spacing w:after="0" w:line="240"/>
            </w:pPr>
            <w:r>
              <w:rPr>
                <w:rFonts w:ascii="Arial" w:cs="Arial" w:eastAsia="Arial" w:hAnsi="Arial"/>
                <w:sz w:val="18"/>
                <w:szCs w:val="18"/>
              </w:rPr>
              <w:t xml:space="preserve">“Use plain language, ask no more than 15 questions, and state no legal conclusions.”</w:t>
            </w:r>
          </w:p>
        </w:tc>
      </w:tr>
    </w:tbl>
    <w:p>
      <w:pPr>
        <w:pStyle w:val="Heading2"/>
        <w:pBdr>
          <w:bottom w:val="single" w:color="D5DFEB" w:sz="6" w:space="2"/>
        </w:pBdr>
        <w:spacing w:after="30" w:before="80"/>
      </w:pPr>
      <w:r>
        <w:rPr>
          <w:rFonts w:ascii="Arial" w:cs="Arial" w:eastAsia="Arial" w:hAnsi="Arial"/>
          <w:b/>
          <w:bCs/>
          <w:color w:val="1E407C"/>
          <w:sz w:val="23"/>
          <w:szCs w:val="23"/>
        </w:rPr>
        <w:t xml:space="preserve">Three other ways to prompt</w:t>
      </w:r>
    </w:p>
    <w:p>
      <w:pPr>
        <w:pStyle w:val="ListParagraph"/>
        <w:numPr>
          <w:ilvl w:val="0"/>
          <w:numId w:val="2"/>
        </w:numPr>
        <w:spacing w:after="30" w:line="238"/>
      </w:pPr>
      <w:r>
        <w:rPr>
          <w:rFonts w:ascii="Arial" w:cs="Arial" w:eastAsia="Arial" w:hAnsi="Arial"/>
          <w:b/>
          <w:bCs/>
          <w:sz w:val="18"/>
          <w:szCs w:val="18"/>
        </w:rPr>
        <w:t xml:space="preserve">Ask questions of a document, or summarize it. </w:t>
      </w:r>
      <w:r>
        <w:rPr>
          <w:rFonts w:ascii="Arial" w:cs="Arial" w:eastAsia="Arial" w:hAnsi="Arial"/>
          <w:sz w:val="18"/>
          <w:szCs w:val="18"/>
        </w:rPr>
        <w:t xml:space="preserve">Paste or upload an opinion, a contract, or a statute, and ask the tool to quote the passages it relies on before it answers.</w:t>
      </w:r>
    </w:p>
    <w:p>
      <w:pPr>
        <w:pStyle w:val="ListParagraph"/>
        <w:numPr>
          <w:ilvl w:val="0"/>
          <w:numId w:val="2"/>
        </w:numPr>
        <w:spacing w:after="30" w:line="238"/>
      </w:pPr>
      <w:r>
        <w:rPr>
          <w:rFonts w:ascii="Arial" w:cs="Arial" w:eastAsia="Arial" w:hAnsi="Arial"/>
          <w:b/>
          <w:bCs/>
          <w:sz w:val="18"/>
          <w:szCs w:val="18"/>
        </w:rPr>
        <w:t xml:space="preserve">Provide documents as samples. </w:t>
      </w:r>
      <w:r>
        <w:rPr>
          <w:rFonts w:ascii="Arial" w:cs="Arial" w:eastAsia="Arial" w:hAnsi="Arial"/>
          <w:sz w:val="18"/>
          <w:szCs w:val="18"/>
        </w:rPr>
        <w:t xml:space="preserve">Give the tool a memo or letter in the form you want, and ask it to match that form.</w:t>
      </w:r>
    </w:p>
    <w:p>
      <w:pPr>
        <w:pStyle w:val="ListParagraph"/>
        <w:numPr>
          <w:ilvl w:val="0"/>
          <w:numId w:val="2"/>
        </w:numPr>
        <w:spacing w:after="30" w:line="238"/>
      </w:pPr>
      <w:r>
        <w:rPr>
          <w:rFonts w:ascii="Arial" w:cs="Arial" w:eastAsia="Arial" w:hAnsi="Arial"/>
          <w:b/>
          <w:bCs/>
          <w:sz w:val="18"/>
          <w:szCs w:val="18"/>
        </w:rPr>
        <w:t xml:space="preserve">Prompt iteratively. </w:t>
      </w:r>
      <w:r>
        <w:rPr>
          <w:rFonts w:ascii="Arial" w:cs="Arial" w:eastAsia="Arial" w:hAnsi="Arial"/>
          <w:sz w:val="18"/>
          <w:szCs w:val="18"/>
        </w:rPr>
        <w:t xml:space="preserve">Start with the issue, read the answer, and then add facts, narrow the jurisdiction, or ask for the authority behind one sentence.</w:t>
      </w:r>
    </w:p>
    <w:p>
      <w:pPr>
        <w:pStyle w:val="Heading2"/>
        <w:pBdr>
          <w:bottom w:val="single" w:color="D5DFEB" w:sz="6" w:space="2"/>
        </w:pBdr>
        <w:spacing w:after="30" w:before="80"/>
      </w:pPr>
      <w:r>
        <w:rPr>
          <w:rFonts w:ascii="Arial" w:cs="Arial" w:eastAsia="Arial" w:hAnsi="Arial"/>
          <w:b/>
          <w:bCs/>
          <w:color w:val="1E407C"/>
          <w:sz w:val="23"/>
          <w:szCs w:val="23"/>
        </w:rPr>
        <w:t xml:space="preserve">Metaprompting: ask the tool for help with the prompt</w:t>
      </w:r>
    </w:p>
    <w:p>
      <w:pPr>
        <w:pStyle w:val="ListParagraph"/>
        <w:numPr>
          <w:ilvl w:val="0"/>
          <w:numId w:val="2"/>
        </w:numPr>
        <w:spacing w:after="30" w:line="238"/>
      </w:pPr>
      <w:r>
        <w:rPr>
          <w:rFonts w:ascii="Arial" w:cs="Arial" w:eastAsia="Arial" w:hAnsi="Arial"/>
          <w:b/>
          <w:bCs/>
          <w:sz w:val="18"/>
          <w:szCs w:val="18"/>
        </w:rPr>
        <w:t xml:space="preserve">Ask for improvements. </w:t>
      </w:r>
      <w:r>
        <w:rPr>
          <w:rFonts w:ascii="Arial" w:cs="Arial" w:eastAsia="Arial" w:hAnsi="Arial"/>
          <w:sz w:val="18"/>
          <w:szCs w:val="18"/>
        </w:rPr>
        <w:t xml:space="preserve">“Here is my prompt. Before you answer it, tell me what information is missing, and then rewrite the prompt so that it will produce a better answer.”</w:t>
      </w:r>
    </w:p>
    <w:p>
      <w:pPr>
        <w:pStyle w:val="ListParagraph"/>
        <w:numPr>
          <w:ilvl w:val="0"/>
          <w:numId w:val="2"/>
        </w:numPr>
        <w:spacing w:after="30" w:line="238"/>
      </w:pPr>
      <w:r>
        <w:rPr>
          <w:rFonts w:ascii="Arial" w:cs="Arial" w:eastAsia="Arial" w:hAnsi="Arial"/>
          <w:b/>
          <w:bCs/>
          <w:sz w:val="18"/>
          <w:szCs w:val="18"/>
        </w:rPr>
        <w:t xml:space="preserve">Ask about the tool. </w:t>
      </w:r>
      <w:r>
        <w:rPr>
          <w:rFonts w:ascii="Arial" w:cs="Arial" w:eastAsia="Arial" w:hAnsi="Arial"/>
          <w:sz w:val="18"/>
          <w:szCs w:val="18"/>
        </w:rPr>
        <w:t xml:space="preserve">“What legal research tasks can you do well, which tasks should I not rely on you for, and how should I phrase a request for each task?”</w:t>
      </w:r>
    </w:p>
    <w:p>
      <w:pPr>
        <w:pStyle w:val="Heading2"/>
        <w:pBdr>
          <w:bottom w:val="single" w:color="D5DFEB" w:sz="6" w:space="2"/>
        </w:pBdr>
        <w:spacing w:after="30" w:before="80"/>
      </w:pPr>
      <w:r>
        <w:rPr>
          <w:rFonts w:ascii="Arial" w:cs="Arial" w:eastAsia="Arial" w:hAnsi="Arial"/>
          <w:b/>
          <w:bCs/>
          <w:color w:val="1E407C"/>
          <w:sz w:val="23"/>
          <w:szCs w:val="23"/>
        </w:rPr>
        <w:t xml:space="preserve">Three common prompting problems</w:t>
      </w:r>
    </w:p>
    <w:p>
      <w:pPr>
        <w:pStyle w:val="ListParagraph"/>
        <w:numPr>
          <w:ilvl w:val="0"/>
          <w:numId w:val="2"/>
        </w:numPr>
        <w:spacing w:after="30" w:line="238"/>
      </w:pPr>
      <w:r>
        <w:rPr>
          <w:rFonts w:ascii="Arial" w:cs="Arial" w:eastAsia="Arial" w:hAnsi="Arial"/>
          <w:b/>
          <w:bCs/>
          <w:sz w:val="18"/>
          <w:szCs w:val="18"/>
        </w:rPr>
        <w:t xml:space="preserve">Leading, accidental or intentional. </w:t>
      </w:r>
      <w:r>
        <w:rPr>
          <w:rFonts w:ascii="Arial" w:cs="Arial" w:eastAsia="Arial" w:hAnsi="Arial"/>
          <w:sz w:val="18"/>
          <w:szCs w:val="18"/>
        </w:rPr>
        <w:t xml:space="preserve">A prompt that assumes the answer (“Explain why the landlord breached the lease”) produces an answer that agrees with you. Ask the open question instead.</w:t>
      </w:r>
    </w:p>
    <w:p>
      <w:pPr>
        <w:pStyle w:val="ListParagraph"/>
        <w:numPr>
          <w:ilvl w:val="0"/>
          <w:numId w:val="2"/>
        </w:numPr>
        <w:spacing w:after="30" w:line="238"/>
      </w:pPr>
      <w:r>
        <w:rPr>
          <w:rFonts w:ascii="Arial" w:cs="Arial" w:eastAsia="Arial" w:hAnsi="Arial"/>
          <w:b/>
          <w:bCs/>
          <w:sz w:val="18"/>
          <w:szCs w:val="18"/>
        </w:rPr>
        <w:t xml:space="preserve">False premise. </w:t>
      </w:r>
      <w:r>
        <w:rPr>
          <w:rFonts w:ascii="Arial" w:cs="Arial" w:eastAsia="Arial" w:hAnsi="Arial"/>
          <w:sz w:val="18"/>
          <w:szCs w:val="18"/>
        </w:rPr>
        <w:t xml:space="preserve">When your prompt states a fact or a rule that is wrong, most models build on it rather than correct it.</w:t>
      </w:r>
    </w:p>
    <w:p>
      <w:pPr>
        <w:pStyle w:val="ListParagraph"/>
        <w:numPr>
          <w:ilvl w:val="0"/>
          <w:numId w:val="2"/>
        </w:numPr>
        <w:spacing w:after="30" w:line="238"/>
      </w:pPr>
      <w:r>
        <w:rPr>
          <w:rFonts w:ascii="Arial" w:cs="Arial" w:eastAsia="Arial" w:hAnsi="Arial"/>
          <w:b/>
          <w:bCs/>
          <w:sz w:val="18"/>
          <w:szCs w:val="18"/>
        </w:rPr>
        <w:t xml:space="preserve">Too many issues. </w:t>
      </w:r>
      <w:r>
        <w:rPr>
          <w:rFonts w:ascii="Arial" w:cs="Arial" w:eastAsia="Arial" w:hAnsi="Arial"/>
          <w:sz w:val="18"/>
          <w:szCs w:val="18"/>
        </w:rPr>
        <w:t xml:space="preserve">A prompt that bundles several questions gets a shallow answer to each. Ask one issue per prompt, and start a new conversation for each new issue.</w:t>
      </w:r>
    </w:p>
    <w:p>
      <w:pPr>
        <w:pBdr>
          <w:top w:val="single" w:color="F0F4F9" w:sz="8" w:space="6"/>
          <w:bottom w:val="single" w:color="F0F4F9" w:sz="8" w:space="6"/>
          <w:left w:val="single" w:color="1E407C" w:sz="24" w:space="10"/>
        </w:pBdr>
        <w:shd w:fill="F0F4F9" w:color="auto" w:val="clear"/>
        <w:spacing w:after="0" w:before="100" w:line="250"/>
        <w:ind w:left="160" w:right="160"/>
      </w:pPr>
      <w:r>
        <w:rPr>
          <w:rFonts w:ascii="Arial" w:cs="Arial" w:eastAsia="Arial" w:hAnsi="Arial"/>
          <w:b/>
          <w:bCs/>
          <w:color w:val="1E407C"/>
          <w:sz w:val="22"/>
          <w:szCs w:val="22"/>
        </w:rPr>
        <w:t xml:space="preserve">A model predicts text; it does not search. Treat every answer as a draft that you must verify, not as a search result.</w:t>
      </w:r>
    </w:p>
    <w:sectPr>
      <w:pgSz w:w="12240" w:h="15840" w:orient="portrait"/>
      <w:pgMar w:top="648" w:right="1008" w:bottom="576"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Arial" w:cs="Arial" w:eastAsia="Arial" w:hAnsi="Arial"/>
      <w:b/>
      <w:bCs/>
      <w:color w:val="1E407C"/>
      <w:sz w:val="23"/>
      <w:szCs w:val="23"/>
    </w:rPr>
  </w:style>
  <w:style w:type="character" w:styleId="Hyperlink">
    <w:name w:val="Hyperlink"/>
    <w:basedOn w:val="DefaultParagraphFont"/>
    <w:uiPriority w:val="99"/>
    <w:unhideWhenUsed/>
    <w:rPr>
      <w:color w:val="1E407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7mgewztihwf6xk3nrun" Type="http://schemas.openxmlformats.org/officeDocument/2006/relationships/hyperlink" Target="https://caslaskowski.github.io/ai-workbench/" TargetMode="External"/><Relationship Id="rIddnhcpmym6n7mplgwzgldl" Type="http://schemas.openxmlformats.org/officeDocument/2006/relationships/hyperlink" Target="https://platform.openai.com/tokenizer" TargetMode="External"/><Relationship Id="rIdyr7q9hk3wiv0qykwm3bth" Type="http://schemas.openxmlformats.org/officeDocument/2006/relationships/hyperlink" Target="https://www.cali.org/books/genai-legal-education-practical-guide-professors-and-studen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2026-10-18T18:09:54.822Z</dcterms:created>
  <dcterms:modified xsi:type="dcterms:W3CDTF">2026-10-18T18:09:54.823Z</dcterms:modified>
</cp:coreProperties>
</file>

<file path=docProps/custom.xml><?xml version="1.0" encoding="utf-8"?>
<Properties xmlns="http://schemas.openxmlformats.org/officeDocument/2006/custom-properties" xmlns:vt="http://schemas.openxmlformats.org/officeDocument/2006/docPropsVTypes"/>
</file>