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color w:val="1E407C"/>
          <w:sz w:val="32"/>
          <w:szCs w:val="32"/>
        </w:rPr>
        <w:t xml:space="preserve">Anonymization Audit: Fact-by-Fact Table</w:t>
      </w:r>
    </w:p>
    <w:p>
      <w:pPr>
        <w:spacing w:after="200"/>
      </w:pPr>
      <w:r>
        <w:rPr>
          <w:i/>
          <w:iCs/>
          <w:sz w:val="22"/>
          <w:szCs w:val="22"/>
        </w:rPr>
        <w:t xml:space="preserve">AI and Legal Research, Week 2, In-Class Exercise 1</w:t>
      </w:r>
    </w:p>
    <w:p>
      <w:pPr>
        <w:spacing w:after="240"/>
      </w:pPr>
      <w:r>
        <w:rPr>
          <w:b/>
          <w:bCs/>
          <w:sz w:val="22"/>
          <w:szCs w:val="22"/>
        </w:rPr>
        <w:t xml:space="preserve">Name:</w:t>
      </w:r>
    </w:p>
    <w:p>
      <w:pPr>
        <w:spacing w:after="240"/>
      </w:pPr>
      <w:r>
        <w:rPr>
          <w:sz w:val="22"/>
          <w:szCs w:val="22"/>
        </w:rPr>
        <w:t xml:space="preserve">For each fact in the client email, decide whether to leave it out, generalize it, or use it as written. Type the wording that goes into your prompt in the Prompt column. If you leave a fact out, leave the cell blank. Then write your sanitized prompt in the last row. You may fix the wording of the prompt for flow and clarity; the prompt does not need to be a cut-and-paste of the cells above it. Write the prompt, but do not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5DFEB" w:sz="4"/>
              <w:left w:val="single" w:color="D5DFEB" w:sz="4"/>
              <w:bottom w:val="single" w:color="D5DFEB" w:sz="4"/>
              <w:right w:val="single" w:color="D5DFEB" w:sz="4"/>
            </w:tcBorders>
            <w:shd w:fill="F0F4F9" w:color="auto" w:val="clear"/>
            <w:tcMar>
              <w:top w:type="dxa" w:w="80"/>
              <w:left w:type="dxa" w:w="100"/>
              <w:bottom w:type="dxa" w:w="80"/>
              <w:right w:type="dxa" w:w="100"/>
            </w:tcMar>
          </w:tcPr>
          <w:p>
            <w:pPr>
              <w:spacing w:after="0"/>
            </w:pPr>
            <w:r>
              <w:rPr>
                <w:b/>
                <w:bCs/>
                <w:color w:val="1E407C"/>
                <w:sz w:val="20"/>
                <w:szCs w:val="20"/>
              </w:rPr>
              <w:t xml:space="preserve">Fact</w:t>
            </w:r>
          </w:p>
        </w:tc>
        <w:tc>
          <w:tcPr>
            <w:tcW w:type="dxa" w:w="3000"/>
            <w:tcBorders>
              <w:top w:val="single" w:color="D5DFEB" w:sz="4"/>
              <w:left w:val="single" w:color="D5DFEB" w:sz="4"/>
              <w:bottom w:val="single" w:color="D5DFEB" w:sz="4"/>
              <w:right w:val="single" w:color="D5DFEB" w:sz="4"/>
            </w:tcBorders>
            <w:shd w:fill="F0F4F9" w:color="auto" w:val="clear"/>
            <w:tcMar>
              <w:top w:type="dxa" w:w="80"/>
              <w:left w:type="dxa" w:w="100"/>
              <w:bottom w:type="dxa" w:w="80"/>
              <w:right w:type="dxa" w:w="100"/>
            </w:tcMar>
          </w:tcPr>
          <w:p>
            <w:pPr>
              <w:spacing w:after="0"/>
            </w:pPr>
            <w:r>
              <w:rPr>
                <w:b/>
                <w:bCs/>
                <w:color w:val="1E407C"/>
                <w:sz w:val="20"/>
                <w:szCs w:val="20"/>
              </w:rPr>
              <w:t xml:space="preserve">Question</w:t>
            </w:r>
          </w:p>
        </w:tc>
        <w:tc>
          <w:tcPr>
            <w:tcW w:type="dxa" w:w="3560"/>
            <w:tcBorders>
              <w:top w:val="single" w:color="D5DFEB" w:sz="4"/>
              <w:left w:val="single" w:color="D5DFEB" w:sz="4"/>
              <w:bottom w:val="single" w:color="D5DFEB" w:sz="4"/>
              <w:right w:val="single" w:color="D5DFEB" w:sz="4"/>
            </w:tcBorders>
            <w:shd w:fill="F0F4F9" w:color="auto" w:val="clear"/>
            <w:tcMar>
              <w:top w:type="dxa" w:w="80"/>
              <w:left w:type="dxa" w:w="100"/>
              <w:bottom w:type="dxa" w:w="80"/>
              <w:right w:type="dxa" w:w="100"/>
            </w:tcMar>
          </w:tcPr>
          <w:p>
            <w:pPr>
              <w:spacing w:after="0"/>
            </w:pPr>
            <w:r>
              <w:rPr>
                <w:b/>
                <w:bCs/>
                <w:color w:val="1E407C"/>
                <w:sz w:val="20"/>
                <w:szCs w:val="20"/>
              </w:rPr>
              <w:t xml:space="preserve">Prompt (your wording, or leave blank to leave the fact out)</w:t>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Her name, Layla Cristina Mihuti</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Her email address</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Employer: Mid America Clinical Laboratories, LLC</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If so, can it be generalized, and how?</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City: Indianapolis</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Can it be generalized? If so, how?</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Job title: Laboratory Assistant I</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Can it be generalized? If so, how?</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Started early April 2024</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Can it be generalized?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A woman in a largely male department</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as written?</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Excluded from coworker lunches and breaks</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Can it be generalized?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Passed over for larger projects that went to male coworkers with similar experience; given repetitive tasks</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Which part of this fact matters? Can it be generalized?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Ignored or spoken over in meetings; dismissive comments and jokes</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as written, or generalized?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Complaints to management in February and March 2025</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Can this be generalized? If so, how?</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Told to be “less sensitive”; no investigation</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the quoted phrase be included, or generalized?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Anxiety, difficulty sleeping, embarrassment</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Can it be generalized?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Resigned April 3, 2025</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Can this be generalized? If so, how?</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Treated as a discharge April 4, 2025</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Can this be generalized? If so, how?</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28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EEOC dismissal and right-to-sue notice, late 2025</w:t>
            </w:r>
          </w:p>
        </w:tc>
        <w:tc>
          <w:tcPr>
            <w:tcW w:type="dxa" w:w="300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Should this be included? Can it be generalized?</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b w:val="false"/>
                <w:bCs w:val="false"/>
                <w:sz w:val="20"/>
                <w:szCs w:val="20"/>
              </w:rPr>
              <w:t xml:space="preserve"/>
            </w:r>
          </w:p>
        </w:tc>
      </w:tr>
      <w:tr>
        <w:trPr>
          <w:cantSplit/>
        </w:trPr>
        <w:tc>
          <w:tcPr>
            <w:tcW w:type="dxa" w:w="5800"/>
            <w:gridSpan w:val="2"/>
            <w:tcBorders>
              <w:top w:val="single" w:color="D5DFEB" w:sz="4"/>
              <w:left w:val="single" w:color="D5DFEB" w:sz="4"/>
              <w:bottom w:val="single" w:color="D5DFEB" w:sz="4"/>
              <w:right w:val="single" w:color="D5DFEB" w:sz="4"/>
            </w:tcBorders>
            <w:shd w:fill="F0F4F9" w:color="auto" w:val="clear"/>
            <w:tcMar>
              <w:top w:type="dxa" w:w="80"/>
              <w:left w:type="dxa" w:w="100"/>
              <w:bottom w:type="dxa" w:w="80"/>
              <w:right w:type="dxa" w:w="100"/>
            </w:tcMar>
          </w:tcPr>
          <w:p>
            <w:pPr>
              <w:spacing w:after="0"/>
            </w:pPr>
            <w:r>
              <w:rPr>
                <w:b/>
                <w:bCs/>
                <w:color w:val="1E407C"/>
                <w:sz w:val="20"/>
                <w:szCs w:val="20"/>
              </w:rPr>
              <w:t xml:space="preserve">My sanitized prompt (Step 2)</w:t>
            </w:r>
          </w:p>
        </w:tc>
        <w:tc>
          <w:tcPr>
            <w:tcW w:type="dxa" w:w="3560"/>
            <w:tcBorders>
              <w:top w:val="single" w:color="D5DFEB" w:sz="4"/>
              <w:left w:val="single" w:color="D5DFEB" w:sz="4"/>
              <w:bottom w:val="single" w:color="D5DFEB" w:sz="4"/>
              <w:right w:val="single" w:color="D5DFEB" w:sz="4"/>
            </w:tcBorders>
            <w:tcMar>
              <w:top w:type="dxa" w:w="80"/>
              <w:left w:type="dxa" w:w="100"/>
              <w:bottom w:type="dxa" w:w="80"/>
              <w:right w:type="dxa" w:w="100"/>
            </w:tcMar>
          </w:tcPr>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pPr>
        <w:spacing w:after="0" w:before="240"/>
      </w:pPr>
      <w:r>
        <w:rPr>
          <w:i/>
          <w:iCs/>
          <w:color w:val="5B6770"/>
          <w:sz w:val="18"/>
          <w:szCs w:val="18"/>
        </w:rPr>
        <w:t xml:space="preserve">The client email comes from Emily Pavuluri, Anonymization Audit: Student Information Packet, in Teaching AI-Augmented Legal Research (Version 0.1, May 2026), https://ailegalresearch.org/exercises/anonymization-audit/, licensed under CC BY-NC 4.0. The client and her employer are fictional.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Anonymization Audit: Fact-by-Fact Table</dc:title>
  <dc:creator>Julie Tedjeske Crane</dc:creator>
  <cp:lastModifiedBy>Un-named</cp:lastModifiedBy>
  <cp:revision>1</cp:revision>
  <dcterms:created xsi:type="dcterms:W3CDTF">2026-10-25T23:49:56.841Z</dcterms:created>
  <dcterms:modified xsi:type="dcterms:W3CDTF">2026-10-25T23:49:56.848Z</dcterms:modified>
</cp:coreProperties>
</file>

<file path=docProps/custom.xml><?xml version="1.0" encoding="utf-8"?>
<Properties xmlns="http://schemas.openxmlformats.org/officeDocument/2006/custom-properties" xmlns:vt="http://schemas.openxmlformats.org/officeDocument/2006/docPropsVTypes"/>
</file>