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1F4A2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383889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0F1321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Flagstaff, AZ</w:t>
      </w:r>
    </w:p>
    <w:p w:rsidR="00CF7682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(2002)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832D68" w:rsidRPr="00832D68" w:rsidRDefault="00A10ED7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32D6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>Treatise in Fluvial Geomorphology</w:t>
      </w:r>
      <w:r w:rsidR="00B46D58">
        <w:rPr>
          <w:rFonts w:ascii="Verdana" w:hAnsi="Verdana"/>
        </w:rPr>
        <w:t xml:space="preserve"> (Ed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). Elsevier.</w:t>
      </w:r>
    </w:p>
    <w:p w:rsidR="00A10ED7" w:rsidRPr="00A10ED7" w:rsidRDefault="00A10ED7" w:rsidP="00A10ED7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DOI: 10.1899/11-010.1</w:t>
      </w:r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9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854F2A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847F21">
        <w:rPr>
          <w:rFonts w:ascii="Verdana" w:hAnsi="Verdana"/>
          <w:b/>
          <w:caps/>
          <w:sz w:val="20"/>
          <w:szCs w:val="20"/>
        </w:rPr>
        <w:t>Prep</w:t>
      </w:r>
      <w:r w:rsidR="003161E9">
        <w:rPr>
          <w:rFonts w:ascii="Verdana" w:hAnsi="Verdana"/>
          <w:b/>
          <w:caps/>
          <w:sz w:val="20"/>
          <w:szCs w:val="20"/>
        </w:rPr>
        <w:t>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47F21" w:rsidRPr="00847F21" w:rsidRDefault="00847F21" w:rsidP="00EA6166">
      <w:pPr>
        <w:ind w:left="270" w:hanging="270"/>
        <w:rPr>
          <w:rFonts w:ascii="Verdana" w:hAnsi="Verdana" w:cs="Verdana"/>
          <w:bCs/>
          <w:sz w:val="20"/>
          <w:szCs w:val="20"/>
          <w:u w:val="single"/>
        </w:rPr>
      </w:pP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Tockner, K. (</w:t>
      </w:r>
      <w:r>
        <w:rPr>
          <w:rFonts w:ascii="Verdana" w:hAnsi="Verdana"/>
          <w:sz w:val="20"/>
          <w:szCs w:val="20"/>
        </w:rPr>
        <w:t>In Prep</w:t>
      </w:r>
      <w:r w:rsidRPr="00847F2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How wide is a stream? A Meta-analysis of the distance aquatic subsidies travel in terrestrial food webs (for </w:t>
      </w:r>
      <w:r>
        <w:rPr>
          <w:rFonts w:ascii="Verdana" w:hAnsi="Verdana"/>
          <w:i/>
          <w:sz w:val="20"/>
          <w:szCs w:val="20"/>
        </w:rPr>
        <w:t>Ecology)</w:t>
      </w:r>
      <w:r>
        <w:rPr>
          <w:rFonts w:ascii="Verdana" w:hAnsi="Verdana"/>
          <w:sz w:val="20"/>
          <w:szCs w:val="20"/>
        </w:rPr>
        <w:t>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1838D6" w:rsidRPr="001838D6" w:rsidRDefault="001838D6" w:rsidP="00EA6166">
      <w:pPr>
        <w:pStyle w:val="HTMLPreformatted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1838D6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0A4E24" w:rsidRPr="00A74C56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1F4A2C" w:rsidRDefault="000C532A" w:rsidP="000C532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Lecturer, presenter, hand-on demos, mentoring, science fairs.</w:t>
      </w:r>
    </w:p>
    <w:p w:rsidR="00D77B8B" w:rsidRPr="00A74C56" w:rsidRDefault="00D77B8B" w:rsidP="001F4A2C">
      <w:pPr>
        <w:ind w:left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 xml:space="preserve">Chapel Hill/Carrboro City Schools, </w:t>
      </w:r>
      <w:r w:rsidR="000C532A">
        <w:rPr>
          <w:rFonts w:ascii="Verdana" w:hAnsi="Verdana" w:cs="Verdana"/>
          <w:sz w:val="20"/>
          <w:szCs w:val="20"/>
        </w:rPr>
        <w:t xml:space="preserve">NC Museum of Natural Science, </w:t>
      </w:r>
      <w:r w:rsidR="00D50BE1">
        <w:rPr>
          <w:rFonts w:ascii="Verdana" w:hAnsi="Verdana" w:cs="Verdana"/>
          <w:sz w:val="20"/>
          <w:szCs w:val="20"/>
        </w:rPr>
        <w:t xml:space="preserve">Museum of Life &amp; Science, </w:t>
      </w:r>
      <w:r w:rsidR="000C532A">
        <w:rPr>
          <w:rFonts w:ascii="Verdana" w:hAnsi="Verdana" w:cs="Verdana"/>
          <w:sz w:val="20"/>
          <w:szCs w:val="20"/>
        </w:rPr>
        <w:t xml:space="preserve">NC State Fair, NC Division of Water Quality, Ravenscroft School. </w:t>
      </w:r>
      <w:r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1C3038">
        <w:rPr>
          <w:rFonts w:ascii="Verdana" w:hAnsi="Verdana" w:cs="Verdana"/>
          <w:sz w:val="20"/>
          <w:szCs w:val="20"/>
        </w:rPr>
        <w:t xml:space="preserve">Ecol, CJFAS, L&amp;O:F&amp;E, </w:t>
      </w:r>
      <w:proofErr w:type="spellStart"/>
      <w:r w:rsidR="001C3038">
        <w:rPr>
          <w:rFonts w:ascii="Verdana" w:hAnsi="Verdana" w:cs="Verdana"/>
          <w:sz w:val="20"/>
          <w:szCs w:val="20"/>
        </w:rPr>
        <w:t>RiverRes</w:t>
      </w:r>
      <w:r w:rsidR="000C532A">
        <w:rPr>
          <w:rFonts w:ascii="Verdana" w:hAnsi="Verdana" w:cs="Verdana"/>
          <w:sz w:val="20"/>
          <w:szCs w:val="20"/>
        </w:rPr>
        <w:t>Appl</w:t>
      </w:r>
      <w:proofErr w:type="spellEnd"/>
      <w:r w:rsidR="001C303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1C3038">
        <w:rPr>
          <w:rFonts w:ascii="Verdana" w:hAnsi="Verdana" w:cs="Verdana"/>
          <w:sz w:val="20"/>
          <w:szCs w:val="20"/>
        </w:rPr>
        <w:t>Restor</w:t>
      </w:r>
      <w:r w:rsidR="000C532A">
        <w:rPr>
          <w:rFonts w:ascii="Verdana" w:hAnsi="Verdana" w:cs="Verdana"/>
          <w:sz w:val="20"/>
          <w:szCs w:val="20"/>
        </w:rPr>
        <w:t>Ecol</w:t>
      </w:r>
      <w:proofErr w:type="spellEnd"/>
      <w:r w:rsidR="000C532A">
        <w:rPr>
          <w:rFonts w:ascii="Verdana" w:hAnsi="Verdana" w:cs="Verdana"/>
          <w:sz w:val="20"/>
          <w:szCs w:val="20"/>
        </w:rPr>
        <w:t>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1F4A2C" w:rsidRDefault="001F4A2C" w:rsidP="001F4A2C">
      <w:pPr>
        <w:spacing w:before="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Active Member</w:t>
      </w:r>
      <w:r w:rsidR="00847F21" w:rsidRPr="00847F21">
        <w:rPr>
          <w:rFonts w:ascii="Verdana" w:hAnsi="Verdana" w:cs="Verdana"/>
          <w:sz w:val="20"/>
          <w:szCs w:val="20"/>
          <w:u w:val="single"/>
        </w:rPr>
        <w:t>.</w:t>
      </w:r>
      <w:r w:rsidR="00847F21" w:rsidRPr="00847F21">
        <w:rPr>
          <w:rFonts w:ascii="Verdana" w:hAnsi="Verdana" w:cs="Verdana"/>
          <w:sz w:val="20"/>
          <w:szCs w:val="20"/>
        </w:rPr>
        <w:t xml:space="preserve"> </w:t>
      </w:r>
      <w:r w:rsidRPr="001F4A2C">
        <w:rPr>
          <w:rFonts w:ascii="Verdana" w:hAnsi="Verdana" w:cs="Verdana"/>
          <w:sz w:val="20"/>
          <w:szCs w:val="20"/>
        </w:rPr>
        <w:t>ESA</w:t>
      </w:r>
      <w:r w:rsidR="000C532A" w:rsidRPr="001F4A2C">
        <w:rPr>
          <w:rFonts w:ascii="Verdana" w:hAnsi="Verdana" w:cs="Verdana"/>
          <w:sz w:val="20"/>
          <w:szCs w:val="20"/>
        </w:rPr>
        <w:t>, SER, AGU</w:t>
      </w:r>
      <w:r w:rsidR="00324FAF" w:rsidRPr="001F4A2C">
        <w:rPr>
          <w:rFonts w:ascii="Verdana" w:hAnsi="Verdana" w:cs="Verdana"/>
          <w:sz w:val="20"/>
          <w:szCs w:val="20"/>
        </w:rPr>
        <w:t>, SFS</w:t>
      </w:r>
      <w:r w:rsidR="000C532A" w:rsidRPr="001F4A2C">
        <w:rPr>
          <w:rFonts w:ascii="Verdana" w:hAnsi="Verdana" w:cs="Verdana"/>
          <w:sz w:val="20"/>
          <w:szCs w:val="20"/>
        </w:rPr>
        <w:t xml:space="preserve">, ASLO, </w:t>
      </w:r>
      <w:r w:rsidRPr="001F4A2C">
        <w:rPr>
          <w:rFonts w:ascii="Verdana" w:hAnsi="Verdana" w:cs="Verdana"/>
          <w:sz w:val="20"/>
          <w:szCs w:val="20"/>
        </w:rPr>
        <w:t>Sigma Xi</w:t>
      </w:r>
      <w:r w:rsidR="00D50BE1" w:rsidRPr="001F4A2C">
        <w:rPr>
          <w:rFonts w:ascii="Verdana" w:hAnsi="Verdana" w:cs="Verdana"/>
          <w:sz w:val="20"/>
          <w:szCs w:val="20"/>
        </w:rPr>
        <w:t xml:space="preserve">, </w:t>
      </w:r>
      <w:r w:rsidR="000C532A" w:rsidRPr="001F4A2C">
        <w:rPr>
          <w:rFonts w:ascii="Verdana" w:hAnsi="Verdana" w:cs="Verdana"/>
          <w:sz w:val="20"/>
          <w:szCs w:val="20"/>
        </w:rPr>
        <w:t>EGU</w:t>
      </w:r>
      <w:r w:rsidRPr="001F4A2C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2005</w:t>
      </w:r>
      <w:r w:rsidRPr="001F4A2C">
        <w:rPr>
          <w:rFonts w:ascii="Verdana" w:hAnsi="Verdana" w:cs="Verdana"/>
          <w:sz w:val="20"/>
          <w:szCs w:val="20"/>
        </w:rPr>
        <w:t>–Pres (by join date)</w:t>
      </w:r>
    </w:p>
    <w:sectPr w:rsidR="00C1642E" w:rsidRPr="001F4A2C" w:rsidSect="001F4A2C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A7B" w:rsidRDefault="00D54A7B">
      <w:r>
        <w:separator/>
      </w:r>
    </w:p>
  </w:endnote>
  <w:endnote w:type="continuationSeparator" w:id="0">
    <w:p w:rsidR="00D54A7B" w:rsidRDefault="00D5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A7B" w:rsidRDefault="00D54A7B">
      <w:r>
        <w:separator/>
      </w:r>
    </w:p>
  </w:footnote>
  <w:footnote w:type="continuationSeparator" w:id="0">
    <w:p w:rsidR="00D54A7B" w:rsidRDefault="00D54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38D6"/>
    <w:rsid w:val="0018701B"/>
    <w:rsid w:val="00191C11"/>
    <w:rsid w:val="001A56A6"/>
    <w:rsid w:val="001B1D98"/>
    <w:rsid w:val="001C3038"/>
    <w:rsid w:val="001C7726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5281"/>
    <w:rsid w:val="0028583F"/>
    <w:rsid w:val="00286AB4"/>
    <w:rsid w:val="0029359B"/>
    <w:rsid w:val="002A014D"/>
    <w:rsid w:val="002A3F74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165E"/>
    <w:rsid w:val="004022FD"/>
    <w:rsid w:val="00416B43"/>
    <w:rsid w:val="00423731"/>
    <w:rsid w:val="00462A3D"/>
    <w:rsid w:val="0048070E"/>
    <w:rsid w:val="004A0617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7398"/>
    <w:rsid w:val="0059755F"/>
    <w:rsid w:val="005A5FE1"/>
    <w:rsid w:val="005B7BD2"/>
    <w:rsid w:val="005C7880"/>
    <w:rsid w:val="005D2FDB"/>
    <w:rsid w:val="005F4B30"/>
    <w:rsid w:val="00616A4F"/>
    <w:rsid w:val="00617509"/>
    <w:rsid w:val="00627ED8"/>
    <w:rsid w:val="006332F0"/>
    <w:rsid w:val="00635AB8"/>
    <w:rsid w:val="00646C5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910718"/>
    <w:rsid w:val="0092422C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842F9"/>
    <w:rsid w:val="00991290"/>
    <w:rsid w:val="009B15B5"/>
    <w:rsid w:val="009C00A6"/>
    <w:rsid w:val="009C2851"/>
    <w:rsid w:val="009C458C"/>
    <w:rsid w:val="009C7EED"/>
    <w:rsid w:val="009D445E"/>
    <w:rsid w:val="00A10ED7"/>
    <w:rsid w:val="00A12E86"/>
    <w:rsid w:val="00A2296A"/>
    <w:rsid w:val="00A35082"/>
    <w:rsid w:val="00A40345"/>
    <w:rsid w:val="00A43590"/>
    <w:rsid w:val="00A46623"/>
    <w:rsid w:val="00A5217F"/>
    <w:rsid w:val="00A74C56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4CAE"/>
    <w:rsid w:val="00B46D58"/>
    <w:rsid w:val="00B64810"/>
    <w:rsid w:val="00B77280"/>
    <w:rsid w:val="00BA5168"/>
    <w:rsid w:val="00BB32D1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54A7B"/>
    <w:rsid w:val="00D64996"/>
    <w:rsid w:val="00D77B8B"/>
    <w:rsid w:val="00D85102"/>
    <w:rsid w:val="00D978E6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2ADB22D-E198-4E28-86EB-A2FE5847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jeffreym" TargetMode="External"/><Relationship Id="rId13" Type="http://schemas.openxmlformats.org/officeDocument/2006/relationships/hyperlink" Target="http://dx.doi.org/10.1074/jbc.M706080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007/s10750-008-9545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899/09-107.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5194/hess-15-1771-2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02/rra.15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6762</CharactersWithSpaces>
  <SharedDoc>false</SharedDoc>
  <HLinks>
    <vt:vector size="36" baseType="variant">
      <vt:variant>
        <vt:i4>1245195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2012-03-20T17:55:00Z</cp:lastPrinted>
  <dcterms:created xsi:type="dcterms:W3CDTF">2016-07-18T23:34:00Z</dcterms:created>
  <dcterms:modified xsi:type="dcterms:W3CDTF">2016-07-18T23:34:00Z</dcterms:modified>
</cp:coreProperties>
</file>