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677C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677C4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677C4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1677C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4C5306" w:rsidRDefault="00BE0623" w:rsidP="004C5306">
      <w:pPr>
        <w:widowControl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AF30DC">
        <w:rPr>
          <w:rFonts w:ascii="Verdana" w:hAnsi="Verdana" w:cs="Verdana"/>
          <w:bCs/>
          <w:sz w:val="20"/>
          <w:szCs w:val="20"/>
        </w:rPr>
        <w:t>Accepted)</w:t>
      </w:r>
      <w:r w:rsidR="00F24729">
        <w:rPr>
          <w:rFonts w:ascii="Verdana" w:hAnsi="Verdana" w:cs="Verdana"/>
          <w:bCs/>
          <w:sz w:val="20"/>
          <w:szCs w:val="20"/>
        </w:rPr>
        <w:t xml:space="preserve"> Effect of tributary and braided confluences on aquatic macroinvertebrate communities and geomorphology in an alpine river watershed.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BC2CB4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Prep) Sticky trap placement and deployment effects on midge catch rates. </w:t>
      </w:r>
      <w:r>
        <w:rPr>
          <w:rFonts w:ascii="Verdana" w:hAnsi="Verdana" w:cs="Verdana"/>
          <w:bCs/>
          <w:i/>
          <w:sz w:val="20"/>
          <w:szCs w:val="20"/>
        </w:rPr>
        <w:t>For Ecological Entomology (90%).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lastRenderedPageBreak/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2013–Pres.</w:t>
      </w:r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bookmarkStart w:id="0" w:name="_GoBack"/>
      <w:bookmarkEnd w:id="0"/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677C4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677C4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677C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677C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F5721-5D1B-4536-8778-C79166B4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3408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22795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</cp:revision>
  <cp:lastPrinted>2014-07-31T17:00:00Z</cp:lastPrinted>
  <dcterms:created xsi:type="dcterms:W3CDTF">2014-11-20T16:51:00Z</dcterms:created>
  <dcterms:modified xsi:type="dcterms:W3CDTF">2014-11-21T20:14:00Z</dcterms:modified>
</cp:coreProperties>
</file>