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3F6B1F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2321C1" w:rsidRDefault="00F3708E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2321C1" w:rsidRDefault="00F3708E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F3708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 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large river ecosystems, aquatic and riparian macroinvertebrates,</w:t>
      </w:r>
      <w:r w:rsidRPr="002A14CF">
        <w:rPr>
          <w:rFonts w:ascii="Verdana" w:hAnsi="Verdana"/>
          <w:sz w:val="20"/>
          <w:szCs w:val="20"/>
        </w:rPr>
        <w:t xml:space="preserve"> 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multivariate statistics and ordination, stable isotope analysis, aquatic biogeochemistry, leaf decomposition.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 xml:space="preserve">Initiated, organized, </w:t>
      </w:r>
      <w:proofErr w:type="gramStart"/>
      <w:r>
        <w:rPr>
          <w:rFonts w:ascii="Verdana" w:hAnsi="Verdana"/>
          <w:sz w:val="20"/>
          <w:szCs w:val="20"/>
        </w:rPr>
        <w:t>led</w:t>
      </w:r>
      <w:proofErr w:type="gramEnd"/>
      <w:r>
        <w:rPr>
          <w:rFonts w:ascii="Verdana" w:hAnsi="Verdana"/>
          <w:sz w:val="20"/>
          <w:szCs w:val="20"/>
        </w:rPr>
        <w:t xml:space="preserve"> multi-year studies in large river ecosystems: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5162FC" w:rsidRPr="007706CB" w:rsidRDefault="003F6B1F" w:rsidP="003F6B1F">
      <w:pPr>
        <w:pStyle w:val="Heading1"/>
        <w:spacing w:after="60"/>
      </w:pPr>
      <w:r>
        <w:rPr>
          <w:szCs w:val="20"/>
        </w:rPr>
        <w:t>Fossil Creek, AZ (karst spring, dam removal), 2003–2007</w:t>
      </w:r>
      <w:r w:rsidR="00AB3A80"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3F6B1F" w:rsidRDefault="003F6B1F" w:rsidP="003F6B1F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:rsidR="003F6B1F" w:rsidRPr="005D244E" w:rsidRDefault="003F6B1F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Biologist, 2013–Pres.</w:t>
      </w:r>
    </w:p>
    <w:p w:rsidR="003F6B1F" w:rsidRPr="00CC4461" w:rsidRDefault="003F6B1F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2013–2017.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A03AB0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2013–2017</w:t>
      </w:r>
      <w:r w:rsidR="00CC4461">
        <w:rPr>
          <w:rFonts w:ascii="Verdana" w:hAnsi="Verdana" w:cs="Verdana"/>
          <w:bCs/>
          <w:sz w:val="20"/>
          <w:szCs w:val="20"/>
        </w:rPr>
        <w:t>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A03AB0" w:rsidRPr="003F6B1F" w:rsidRDefault="00FC6CDC" w:rsidP="005B737B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3F6B1F"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3F6B1F">
        <w:rPr>
          <w:rFonts w:ascii="Verdana" w:hAnsi="Verdana" w:cs="Verdana"/>
          <w:bCs/>
          <w:sz w:val="20"/>
          <w:szCs w:val="20"/>
        </w:rPr>
        <w:t>F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ellow, </w:t>
      </w:r>
      <w:r w:rsidRPr="003F6B1F">
        <w:rPr>
          <w:rFonts w:ascii="Verdana" w:hAnsi="Verdana" w:cs="Verdana"/>
          <w:bCs/>
          <w:sz w:val="20"/>
          <w:szCs w:val="20"/>
        </w:rPr>
        <w:t>200</w:t>
      </w:r>
      <w:r w:rsidR="003161E9" w:rsidRPr="003F6B1F">
        <w:rPr>
          <w:rFonts w:ascii="Verdana" w:hAnsi="Verdana" w:cs="Verdana"/>
          <w:bCs/>
          <w:sz w:val="20"/>
          <w:szCs w:val="20"/>
        </w:rPr>
        <w:t>7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A17D6C" w:rsidRPr="003F6B1F">
        <w:rPr>
          <w:rFonts w:ascii="Verdana" w:hAnsi="Verdana" w:cs="Verdana"/>
          <w:bCs/>
          <w:sz w:val="20"/>
          <w:szCs w:val="20"/>
        </w:rPr>
        <w:t>2012</w:t>
      </w:r>
      <w:r w:rsidR="00727845" w:rsidRPr="003F6B1F">
        <w:rPr>
          <w:rFonts w:ascii="Verdana" w:hAnsi="Verdana" w:cs="Verdana"/>
          <w:bCs/>
          <w:sz w:val="20"/>
          <w:szCs w:val="20"/>
        </w:rPr>
        <w:t>;</w:t>
      </w:r>
      <w:r w:rsidR="005164E8" w:rsidRPr="003F6B1F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3F6B1F">
        <w:rPr>
          <w:rFonts w:ascii="Verdana" w:hAnsi="Verdana" w:cs="Verdana"/>
          <w:bCs/>
          <w:sz w:val="20"/>
          <w:szCs w:val="20"/>
        </w:rPr>
        <w:t>T</w:t>
      </w:r>
      <w:r w:rsidR="005164E8" w:rsidRPr="003F6B1F">
        <w:rPr>
          <w:rFonts w:ascii="Verdana" w:hAnsi="Verdana" w:cs="Verdana"/>
          <w:bCs/>
          <w:sz w:val="20"/>
          <w:szCs w:val="20"/>
        </w:rPr>
        <w:t>A/RA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3F6B1F">
        <w:rPr>
          <w:rFonts w:ascii="Verdana" w:hAnsi="Verdana" w:cs="Verdana"/>
          <w:bCs/>
          <w:sz w:val="20"/>
          <w:szCs w:val="20"/>
        </w:rPr>
        <w:t>2008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6045E0" w:rsidRPr="003F6B1F">
        <w:rPr>
          <w:rFonts w:ascii="Verdana" w:hAnsi="Verdana" w:cs="Verdana"/>
          <w:bCs/>
          <w:sz w:val="20"/>
          <w:szCs w:val="20"/>
        </w:rPr>
        <w:t>2012</w:t>
      </w:r>
      <w:r w:rsidR="00A93767" w:rsidRPr="003F6B1F">
        <w:rPr>
          <w:rFonts w:ascii="Verdana" w:hAnsi="Verdana" w:cs="Verdana"/>
          <w:bCs/>
          <w:sz w:val="20"/>
          <w:szCs w:val="20"/>
        </w:rPr>
        <w:t>.</w:t>
      </w:r>
    </w:p>
    <w:p w:rsidR="00A03AB0" w:rsidRPr="00F47FE7" w:rsidRDefault="00A03AB0" w:rsidP="00A03AB0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F47FE7" w:rsidRPr="00A03AB0" w:rsidRDefault="00727845" w:rsidP="00F47FE7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E57EA2" w:rsidRPr="00CB3E6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 w:rsidRPr="00CB3E62">
        <w:rPr>
          <w:rFonts w:ascii="Verdana" w:hAnsi="Verdana" w:cs="Verdana"/>
          <w:bCs/>
          <w:sz w:val="20"/>
          <w:szCs w:val="20"/>
        </w:rPr>
        <w:t xml:space="preserve">Copp, A.J. &amp; Sabol, T.A. (In Press)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5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2540DE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67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: 1987–1990.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77</w:t>
      </w:r>
      <w:proofErr w:type="gramEnd"/>
      <w:r>
        <w:rPr>
          <w:rFonts w:ascii="Verdana" w:hAnsi="Verdana" w:cs="Verdana"/>
          <w:bCs/>
          <w:sz w:val="20"/>
          <w:szCs w:val="20"/>
        </w:rPr>
        <w:t>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proofErr w:type="spellStart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4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E57EA2" w:rsidRDefault="005A1EF9" w:rsidP="00E57EA2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  <w:r w:rsidR="00E57EA2">
        <w:br w:type="page"/>
      </w:r>
    </w:p>
    <w:p w:rsidR="00F47FE7" w:rsidRDefault="00F47FE7" w:rsidP="00F47FE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E57EA2" w:rsidRDefault="00E57EA2" w:rsidP="00E57EA2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Pr="000A6F7A">
        <w:rPr>
          <w:rFonts w:ascii="Verdana" w:hAnsi="Verdana"/>
          <w:sz w:val="20"/>
          <w:szCs w:val="20"/>
        </w:rPr>
        <w:t>How</w:t>
      </w:r>
      <w:proofErr w:type="gramEnd"/>
      <w:r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28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E57EA2" w:rsidRDefault="00472FE6" w:rsidP="00E57EA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  <w:r w:rsidR="00E57EA2">
        <w:br w:type="page"/>
      </w:r>
    </w:p>
    <w:p w:rsidR="00F47FE7" w:rsidRPr="00DE4F51" w:rsidRDefault="00F47FE7" w:rsidP="00F47FE7">
      <w:pPr>
        <w:pStyle w:val="Heading1"/>
        <w:spacing w:after="60"/>
      </w:pPr>
      <w:r w:rsidRPr="00DE4F51">
        <w:lastRenderedPageBreak/>
        <w:t>Manuscripts In Prep</w:t>
      </w:r>
      <w:r>
        <w:t xml:space="preserve"> (CONTINUED)</w:t>
      </w:r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Ph.D. Thesis, University of North Carolina at Chapel Hill.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meta-analysis—Data. Ecological Archives </w:t>
      </w:r>
      <w:hyperlink r:id="rId4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E57EA2" w:rsidRDefault="002D111B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62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:rsidR="00E57EA2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61) </w:t>
      </w:r>
      <w:proofErr w:type="spellStart"/>
      <w:r w:rsidR="00E57EA2">
        <w:rPr>
          <w:rFonts w:ascii="Verdana" w:hAnsi="Verdana"/>
          <w:sz w:val="20"/>
          <w:szCs w:val="20"/>
        </w:rPr>
        <w:t>Deemer</w:t>
      </w:r>
      <w:proofErr w:type="spellEnd"/>
      <w:r w:rsidR="00E57EA2">
        <w:rPr>
          <w:rFonts w:ascii="Verdana" w:hAnsi="Verdana"/>
          <w:sz w:val="20"/>
          <w:szCs w:val="20"/>
        </w:rPr>
        <w:t xml:space="preserve">, B.R., Yackulic, C.B., Hall, R.O., Kennedy, T.A.  </w:t>
      </w:r>
      <w:r w:rsidR="00E57EA2">
        <w:rPr>
          <w:rFonts w:ascii="Verdana" w:hAnsi="Verdana"/>
          <w:sz w:val="20"/>
          <w:szCs w:val="20"/>
          <w:u w:val="single"/>
        </w:rPr>
        <w:t>Muehlbauer, J.D.</w:t>
      </w:r>
      <w:r w:rsidR="00E57EA2">
        <w:rPr>
          <w:rFonts w:ascii="Verdana" w:hAnsi="Verdana"/>
          <w:sz w:val="20"/>
          <w:szCs w:val="20"/>
        </w:rPr>
        <w:t xml:space="preserve"> (2017) Phosphorous releases from a large dam are a lever on primary production and higher trophic levels up to 120 kilometers downstream. SFS.</w:t>
      </w:r>
    </w:p>
    <w:p w:rsidR="002D111B" w:rsidRPr="002D111B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60) Metcalfe, A.N.,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Marks, J.C. (2017) The Colorado River Basin: aquatic insect diversity and distribution in a fragmented </w:t>
      </w:r>
      <w:proofErr w:type="spellStart"/>
      <w:r>
        <w:rPr>
          <w:rFonts w:ascii="Verdana" w:hAnsi="Verdana"/>
          <w:sz w:val="20"/>
          <w:szCs w:val="20"/>
        </w:rPr>
        <w:t>riverscape</w:t>
      </w:r>
      <w:proofErr w:type="spellEnd"/>
      <w:r>
        <w:rPr>
          <w:rFonts w:ascii="Verdana" w:hAnsi="Verdana"/>
          <w:sz w:val="20"/>
          <w:szCs w:val="20"/>
        </w:rPr>
        <w:t>. SFS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59)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(2017) Aquatic invertebrate community structure downstream of hydropeaking dams in the Colorado River Basin (Poster). SFS.</w:t>
      </w:r>
    </w:p>
    <w:p w:rsidR="000A4E77" w:rsidRPr="005B7BD2" w:rsidRDefault="000A4E77" w:rsidP="000A4E77">
      <w:pPr>
        <w:pStyle w:val="Heading1"/>
        <w:spacing w:after="60"/>
      </w:pPr>
      <w:r>
        <w:lastRenderedPageBreak/>
        <w:t>Conference Presentations (CONTINUED)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58) </w:t>
      </w:r>
      <w:proofErr w:type="spellStart"/>
      <w:r>
        <w:rPr>
          <w:rFonts w:ascii="Verdana" w:hAnsi="Verdana"/>
          <w:sz w:val="20"/>
          <w:szCs w:val="20"/>
        </w:rPr>
        <w:t>Daubert</w:t>
      </w:r>
      <w:proofErr w:type="spellEnd"/>
      <w:r>
        <w:rPr>
          <w:rFonts w:ascii="Verdana" w:hAnsi="Verdana"/>
          <w:sz w:val="20"/>
          <w:szCs w:val="20"/>
        </w:rPr>
        <w:t>, M.E.</w:t>
      </w:r>
      <w:r w:rsidR="003F6B1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Healy, B.D. (2017) Aquatic invertebrate response to trout removal in Bright Angel Creek, Grand Canyon, AZ (Poster). SFS.</w:t>
      </w:r>
    </w:p>
    <w:p w:rsidR="00B35ECA" w:rsidRDefault="00F8069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57</w:t>
      </w:r>
      <w:r w:rsidR="00B35ECA">
        <w:rPr>
          <w:rFonts w:ascii="Verdana" w:hAnsi="Verdana"/>
          <w:sz w:val="20"/>
          <w:szCs w:val="20"/>
        </w:rPr>
        <w:t xml:space="preserve">) </w:t>
      </w:r>
      <w:proofErr w:type="spellStart"/>
      <w:r w:rsidR="003F6B1F">
        <w:rPr>
          <w:rFonts w:ascii="Verdana" w:hAnsi="Verdana"/>
          <w:sz w:val="20"/>
          <w:szCs w:val="20"/>
        </w:rPr>
        <w:t>Lupoli</w:t>
      </w:r>
      <w:proofErr w:type="spellEnd"/>
      <w:r w:rsidR="003F6B1F">
        <w:rPr>
          <w:rFonts w:ascii="Verdana" w:hAnsi="Verdana"/>
          <w:sz w:val="20"/>
          <w:szCs w:val="20"/>
        </w:rPr>
        <w:t xml:space="preserve">, C.A., Sabo, J.L., Kennedy, T.A., </w:t>
      </w:r>
      <w:r w:rsidR="003F6B1F">
        <w:rPr>
          <w:rFonts w:ascii="Verdana" w:hAnsi="Verdana"/>
          <w:sz w:val="20"/>
          <w:szCs w:val="20"/>
          <w:u w:val="single"/>
        </w:rPr>
        <w:t>Muehlbauer, J.D.</w:t>
      </w:r>
      <w:r w:rsidR="003F6B1F">
        <w:rPr>
          <w:rFonts w:ascii="Verdana" w:hAnsi="Verdana"/>
          <w:sz w:val="20"/>
          <w:szCs w:val="20"/>
        </w:rPr>
        <w:t xml:space="preserve"> &amp; Yackulic, C.B</w:t>
      </w:r>
      <w:r w:rsidR="009B11E7">
        <w:rPr>
          <w:rFonts w:ascii="Verdana" w:hAnsi="Verdana"/>
          <w:sz w:val="20"/>
          <w:szCs w:val="20"/>
        </w:rPr>
        <w:t xml:space="preserve">. (2017) </w:t>
      </w:r>
      <w:r w:rsidR="003F6B1F">
        <w:rPr>
          <w:rFonts w:ascii="Verdana" w:hAnsi="Verdana"/>
          <w:sz w:val="20"/>
          <w:szCs w:val="20"/>
        </w:rPr>
        <w:t>Terrestrial-aquatic linkages in the Grand Canyon (Poster). SFS.</w:t>
      </w:r>
    </w:p>
    <w:p w:rsidR="00F47FE7" w:rsidRDefault="00F8069B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F47FE7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55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</w:t>
      </w:r>
      <w:proofErr w:type="gramStart"/>
      <w:r w:rsidR="00F47FE7">
        <w:rPr>
          <w:rFonts w:ascii="Verdana" w:hAnsi="Verdana"/>
          <w:sz w:val="20"/>
          <w:szCs w:val="20"/>
        </w:rPr>
        <w:t>Fluvial</w:t>
      </w:r>
      <w:proofErr w:type="gramEnd"/>
      <w:r w:rsidR="00F47FE7">
        <w:rPr>
          <w:rFonts w:ascii="Verdana" w:hAnsi="Verdana"/>
          <w:sz w:val="20"/>
          <w:szCs w:val="20"/>
        </w:rPr>
        <w:t xml:space="preserve"> aquatic ecology of the Colorado River.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54) Kennedy, T.A., Dodrill, M.J., Yackulic, C.B.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Floods, flows, and the aquatic foodbase.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53) </w:t>
      </w:r>
      <w:proofErr w:type="spellStart"/>
      <w:r>
        <w:rPr>
          <w:rFonts w:ascii="Verdana" w:hAnsi="Verdana"/>
          <w:sz w:val="20"/>
          <w:szCs w:val="20"/>
        </w:rPr>
        <w:t>Daubert</w:t>
      </w:r>
      <w:proofErr w:type="spellEnd"/>
      <w:r>
        <w:rPr>
          <w:rFonts w:ascii="Verdana" w:hAnsi="Verdana"/>
          <w:sz w:val="20"/>
          <w:szCs w:val="20"/>
        </w:rPr>
        <w:t xml:space="preserve">, M.E., Ingram, A.E.,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(2017) Aquatic invertebrate response to brown trout removal in Bright Angel Creek: study design and preliminary results (Poster). Glen Canyon Dam Adaptive Management Program Annual Reporting Meeting.</w:t>
      </w:r>
    </w:p>
    <w:p w:rsidR="00E57EA2" w:rsidRPr="00F8069B" w:rsidRDefault="00E57EA2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52) 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(2017) Terrestrial-aquatic linkage sin the Grand Canyon (Poster).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51) </w:t>
      </w:r>
      <w:proofErr w:type="spellStart"/>
      <w:r>
        <w:rPr>
          <w:rFonts w:ascii="Verdana" w:hAnsi="Verdana"/>
          <w:sz w:val="20"/>
          <w:szCs w:val="20"/>
        </w:rPr>
        <w:t>Deemer</w:t>
      </w:r>
      <w:proofErr w:type="spellEnd"/>
      <w:r>
        <w:rPr>
          <w:rFonts w:ascii="Verdana" w:hAnsi="Verdana"/>
          <w:sz w:val="20"/>
          <w:szCs w:val="20"/>
        </w:rPr>
        <w:t xml:space="preserve">, B.R., Yackulic, C.B., Hall, R.O.,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Lake Powell nutrient dynamics are a lever on food webs near the LCR (Poster). Glen Canyon Dam Adaptive Management Program Annual Reporting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Bair, L. (2016) Brown trout </w:t>
      </w:r>
      <w:proofErr w:type="gramStart"/>
      <w:r>
        <w:rPr>
          <w:rFonts w:ascii="Verdana" w:hAnsi="Verdana"/>
          <w:sz w:val="20"/>
          <w:szCs w:val="20"/>
        </w:rPr>
        <w:t>expert elicitation survey results</w:t>
      </w:r>
      <w:proofErr w:type="gramEnd"/>
      <w:r>
        <w:rPr>
          <w:rFonts w:ascii="Verdana" w:hAnsi="Verdana"/>
          <w:sz w:val="20"/>
          <w:szCs w:val="20"/>
        </w:rPr>
        <w:t>. Grand Canyon Fish Cooperators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E.K., Kennedy, T.A. &amp; Yackulic, C.B. (2016) Little Colorado River foodbase research: 3 years on. Grand Canyon Fish Cooperators Meeting.</w:t>
      </w:r>
    </w:p>
    <w:p w:rsidR="00742382" w:rsidRDefault="00742382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4238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48)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u w:val="single"/>
          <w:shd w:val="clear" w:color="auto" w:fill="FFFFFF"/>
        </w:rPr>
        <w:t>Muehlbauer, J.D.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(2016) Aquatic foodbase of the Little Colorado River. Glen Canyon Dam Adaptive Management Working Group Meeting.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F47FE7" w:rsidRDefault="00122729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0C35F8" w:rsidRPr="005B7BD2" w:rsidRDefault="000C35F8" w:rsidP="000C35F8">
      <w:pPr>
        <w:pStyle w:val="Heading1"/>
        <w:spacing w:after="60"/>
      </w:pPr>
      <w:r>
        <w:lastRenderedPageBreak/>
        <w:t>Conference Presentations (CONTINUED)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 w:rsidR="006D4E76">
        <w:rPr>
          <w:rFonts w:ascii="Verdana" w:hAnsi="Verdana"/>
          <w:sz w:val="20"/>
          <w:szCs w:val="20"/>
        </w:rPr>
        <w:t>There’s</w:t>
      </w:r>
      <w:proofErr w:type="gramEnd"/>
      <w:r w:rsidR="006D4E76"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  <w:r w:rsidR="000C35F8">
        <w:br w:type="page"/>
      </w:r>
    </w:p>
    <w:p w:rsidR="002D111B" w:rsidRPr="005B7BD2" w:rsidRDefault="002D111B" w:rsidP="002D111B">
      <w:pPr>
        <w:pStyle w:val="Heading1"/>
        <w:spacing w:after="60"/>
      </w:pPr>
      <w:r>
        <w:lastRenderedPageBreak/>
        <w:t>Conference Presentations (CONTINUED)</w:t>
      </w:r>
    </w:p>
    <w:p w:rsidR="000C35F8" w:rsidRDefault="000C35F8" w:rsidP="000C35F8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21) Kennedy, T.A., Yackulic, C.B.,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>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2D111B" w:rsidRDefault="007A477B" w:rsidP="002D111B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  <w:r w:rsidR="002D111B">
        <w:br w:type="page"/>
      </w:r>
    </w:p>
    <w:p w:rsidR="00EE2F5F" w:rsidRPr="00D734D0" w:rsidRDefault="00EE2F5F" w:rsidP="00EE2F5F">
      <w:pPr>
        <w:pStyle w:val="Heading1"/>
        <w:spacing w:after="60"/>
      </w:pPr>
      <w:r w:rsidRPr="00F118E7">
        <w:lastRenderedPageBreak/>
        <w:t>I</w:t>
      </w:r>
      <w:r>
        <w:t>nvited, Non-Conference Presentations</w:t>
      </w:r>
    </w:p>
    <w:p w:rsidR="00F8069B" w:rsidRDefault="00F8069B" w:rsidP="00F8069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“Dammed and adrift in the Colorado River Basin”. USGS Southwest Biological Science Center All-Hands Meeting, 2017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 xml:space="preserve">Western Area Power </w:t>
      </w:r>
      <w:r w:rsidR="008F4604">
        <w:rPr>
          <w:rFonts w:ascii="Verdana" w:hAnsi="Verdana" w:cs="Verdana"/>
          <w:sz w:val="20"/>
          <w:szCs w:val="20"/>
        </w:rPr>
        <w:t>Administration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</w:t>
      </w:r>
      <w:r w:rsidR="002D111B">
        <w:rPr>
          <w:rFonts w:ascii="Verdana" w:hAnsi="Verdana" w:cs="Verdana"/>
          <w:sz w:val="20"/>
          <w:szCs w:val="20"/>
        </w:rPr>
        <w:t xml:space="preserve"> undergraduate interns, 2014–2017</w:t>
      </w:r>
      <w:r>
        <w:rPr>
          <w:rFonts w:ascii="Verdana" w:hAnsi="Verdana" w:cs="Verdana"/>
          <w:sz w:val="20"/>
          <w:szCs w:val="20"/>
        </w:rPr>
        <w:t xml:space="preserve"> (</w:t>
      </w:r>
      <w:r w:rsidR="002D111B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2D111B" w:rsidP="002D111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521326" w:rsidP="0059188D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D111B">
        <w:rPr>
          <w:rFonts w:ascii="Verdana" w:hAnsi="Verdana" w:cs="Verdana"/>
          <w:sz w:val="20"/>
          <w:szCs w:val="20"/>
        </w:rPr>
        <w:t>Raymond Scoutmaster Scholarship, 2006 (</w:t>
      </w:r>
      <w:r w:rsidRPr="002D111B">
        <w:rPr>
          <w:rFonts w:ascii="Verdana" w:hAnsi="Verdana" w:cs="Verdana"/>
          <w:i/>
          <w:sz w:val="20"/>
          <w:szCs w:val="20"/>
        </w:rPr>
        <w:t>$500</w:t>
      </w:r>
      <w:r w:rsidRPr="002D111B">
        <w:rPr>
          <w:rFonts w:ascii="Verdana" w:hAnsi="Verdana" w:cs="Verdana"/>
          <w:sz w:val="20"/>
          <w:szCs w:val="20"/>
        </w:rPr>
        <w:t>)</w:t>
      </w:r>
      <w:r w:rsidR="002D111B"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3F6B1F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</w:t>
      </w:r>
      <w:r w:rsidR="00A32AF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32AFA">
        <w:rPr>
          <w:rFonts w:ascii="Verdana" w:hAnsi="Verdana" w:cs="Verdana"/>
          <w:sz w:val="20"/>
          <w:szCs w:val="20"/>
        </w:rPr>
        <w:t>masters</w:t>
      </w:r>
      <w:proofErr w:type="spellEnd"/>
      <w:r w:rsidR="00A32A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degree</w:t>
      </w:r>
      <w:r w:rsidR="00A32AF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 xml:space="preserve">, </w:t>
      </w:r>
      <w:r w:rsidR="00DF725E" w:rsidRPr="00DF725E">
        <w:rPr>
          <w:rFonts w:ascii="Verdana" w:hAnsi="Verdana" w:cs="Verdana"/>
          <w:sz w:val="20"/>
          <w:szCs w:val="20"/>
        </w:rPr>
        <w:t>2006–Pres.</w:t>
      </w:r>
      <w:r w:rsidR="00DF725E" w:rsidRPr="00DF725E">
        <w:rPr>
          <w:rFonts w:ascii="Verdana" w:hAnsi="Verdana" w:cs="Verdana"/>
          <w:sz w:val="20"/>
          <w:szCs w:val="20"/>
        </w:rPr>
        <w:t>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>
        <w:br w:type="page"/>
      </w:r>
    </w:p>
    <w:p w:rsidR="002D111B" w:rsidRPr="00F118E7" w:rsidRDefault="002D111B" w:rsidP="002D111B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>
        <w:rPr>
          <w:rFonts w:ascii="Verdana" w:hAnsi="Verdana" w:cs="Verdana"/>
          <w:sz w:val="20"/>
          <w:szCs w:val="20"/>
        </w:rPr>
        <w:t>Biol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Hydrobiologia,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F8069B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 </w:t>
      </w:r>
      <w:r w:rsidR="00C8169C">
        <w:rPr>
          <w:rFonts w:ascii="Verdana" w:hAnsi="Verdana" w:cs="Verdana"/>
          <w:i/>
          <w:sz w:val="20"/>
          <w:szCs w:val="20"/>
        </w:rPr>
        <w:t>“Water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  <w:bookmarkStart w:id="0" w:name="_GoBack"/>
      <w:bookmarkEnd w:id="0"/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8E" w:rsidRDefault="00F3708E">
      <w:r>
        <w:separator/>
      </w:r>
    </w:p>
  </w:endnote>
  <w:endnote w:type="continuationSeparator" w:id="0">
    <w:p w:rsidR="00F3708E" w:rsidRDefault="00F3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C19B1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C19B1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F725E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F725E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8E" w:rsidRDefault="00F3708E">
      <w:r>
        <w:separator/>
      </w:r>
    </w:p>
  </w:footnote>
  <w:footnote w:type="continuationSeparator" w:id="0">
    <w:p w:rsidR="00F3708E" w:rsidRDefault="00F370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12C6"/>
    <w:rsid w:val="004D2898"/>
    <w:rsid w:val="004D617F"/>
    <w:rsid w:val="004D674D"/>
    <w:rsid w:val="004D7D24"/>
    <w:rsid w:val="004E6733"/>
    <w:rsid w:val="004F4DC6"/>
    <w:rsid w:val="004F5B11"/>
    <w:rsid w:val="00505839"/>
    <w:rsid w:val="00505ADD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A09E6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03FA"/>
    <w:rsid w:val="007A477B"/>
    <w:rsid w:val="007A58B3"/>
    <w:rsid w:val="007A76F8"/>
    <w:rsid w:val="007B465F"/>
    <w:rsid w:val="007C2842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79ED"/>
    <w:rsid w:val="008007F8"/>
    <w:rsid w:val="00817EEA"/>
    <w:rsid w:val="00821920"/>
    <w:rsid w:val="008219C4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F4604"/>
    <w:rsid w:val="00900FEC"/>
    <w:rsid w:val="0090602C"/>
    <w:rsid w:val="00910718"/>
    <w:rsid w:val="009109F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F43F5"/>
    <w:rsid w:val="00C0009E"/>
    <w:rsid w:val="00C13A80"/>
    <w:rsid w:val="00C13D51"/>
    <w:rsid w:val="00C1642E"/>
    <w:rsid w:val="00C215B8"/>
    <w:rsid w:val="00C23DA3"/>
    <w:rsid w:val="00C25287"/>
    <w:rsid w:val="00C3114E"/>
    <w:rsid w:val="00C4126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5912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E01F84"/>
    <w:rsid w:val="00E071A5"/>
    <w:rsid w:val="00E113E0"/>
    <w:rsid w:val="00E11771"/>
    <w:rsid w:val="00E127DA"/>
    <w:rsid w:val="00E23024"/>
    <w:rsid w:val="00E245BE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J97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154F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B4D8-230B-4A14-94C2-55119ECE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5112</Words>
  <Characters>29142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34186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46</cp:revision>
  <cp:lastPrinted>2017-05-25T23:30:00Z</cp:lastPrinted>
  <dcterms:created xsi:type="dcterms:W3CDTF">2016-07-06T16:34:00Z</dcterms:created>
  <dcterms:modified xsi:type="dcterms:W3CDTF">2017-06-13T19:05:00Z</dcterms:modified>
</cp:coreProperties>
</file>