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Cazo de Lorenzo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Relació amb les altres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Consciència sobre l’alteritat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Comprendre la diversitat desde una perspectiva àmplia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Identificar situacions quotidianes que permetin reflexionar entorn la diversita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lineRule="auto"/>
              <w:ind w:right="-23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Competències personals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20" w:lineRule="auto"/>
              <w:ind w:left="720" w:right="-23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Cura de si mateix</w:t>
            </w:r>
          </w:p>
          <w:p w:rsidR="00000000" w:rsidDel="00000000" w:rsidP="00000000" w:rsidRDefault="00000000" w:rsidRPr="00000000" w14:paraId="00000011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Competències relacionals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Construcció de relacions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120" w:lineRule="auto"/>
              <w:ind w:left="720" w:right="-23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Aprendre a conviure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6-9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Visualitzarem el curt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Cazo de Lorenzo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color w:val="000080"/>
                  <w:sz w:val="24"/>
                  <w:szCs w:val="24"/>
                  <w:u w:val="single"/>
                  <w:rtl w:val="0"/>
                </w:rPr>
                <w:t xml:space="preserve">https://www.youtube.com/watch?v=GUfa7p5qqa0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continuació, generarem un espai de reflexió amb el grup  través de preguntes guia com: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 principi del conte, que pensen les persones del seu voltant quan el veuen?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Accepten que sigui diferent? Però alhora, no som totes diferents? Per què actuen d’aquesta manera només amb el Lorenzo?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creus que es sent el Lorenzo a l’inici del conte? (situació en que encara que una infant vol parlar amb ell, l’adulta que va amb ella l’obliga a marxar). Per què?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 agrada portar sempre la cassola amb ell? Per què creus que si / no?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quin moment del conte el Lorenzo comença a sentir-se estimat i escoltat?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Creieu que passa que es mira diferent a persones per ser com son?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fóssiu alguna de les persones que es troba al Lorenzo al llarg de la historia, com haurieu actuat?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 heu sentit alguna vegada com el Lorenzo, o coneixeu algú que ho hagi fet?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reflexió, a més de la possible resposta a les preguntes que es plantegen, ha d’anar acompanyada de la relació amb exemples quotidians que el grup d’infants puguin haver vist i/o experimentat per tal de fer-ho més enriquidor.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Ordinador i projector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minuts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Comprendre la diversitat com un fet intrínsec ja no únicament a la societat sinó a cadascun dels grups i persones que ens envolten, i com a aspecte que ens permet enrriquir-nos en comunitat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Comprendre que un espai divers serà còmode per a totes si partim de la corresponsabilitat per a fer-ho com a premisa.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3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3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3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3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4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F4162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4162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4162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fa7p5qqa0" TargetMode="External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aFxsUyAXRjpD811gcCZdvEeeTA==">CgMxLjA4AHIhMXlvOFZIdFJCMVB2dXZ2eHRaU1plWGhYT2JpZk9YMXQ0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2024-03-13T22:32:00Z</dcterms:created>
  <dc:creator>Ari</dc:creator>
</cp:coreProperties>
</file>