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Pots dir el nom d’una…?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Santa Coloma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Activitats lúdiques amb perspectiva de gènere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6.1. Lleure amb perspectiva de gènere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Promoure la igualtat de gènere.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Conèixer els estereotips de gènere i com ens afecten.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Tenir present la perspectiva de gènere en els jocs de lleure.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Conèixer dones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importants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 la història.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Aprendre a conviure.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Implicació a la comunitat.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Construcció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relacions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Infància 9-12 anys (es pot jugar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individualment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en parelles o en grups)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Llança el dau tres vegades.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Suma tots els números que surtin.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Busca la xifra que obtinguis en la llista de l'esquerra i obtindràs la professió.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Gira la ruleta per a aconseguir una nacionalitat i respon a la pregunta: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"coneixes alguna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hd w:fill="fce5cd" w:val="clear"/>
                <w:rtl w:val="0"/>
              </w:rPr>
              <w:t xml:space="preserve">professió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hd w:fill="fce5cd" w:val="clear"/>
                <w:rtl w:val="0"/>
              </w:rPr>
              <w:t xml:space="preserve">nacionalitat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?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 Si la resposta és que sí,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s'ha de dir el nom i explicar algun aspecte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rellevant de la dona que surti. Si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 es coneix cap, es pot fer una recerca a internet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i, si no es troba,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es pot debatre el perquè no s'ha trobat cap dona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 si, en canvi, sí que es pot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trobar o conèixer a homes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d'aquella nacionalitat i professió.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4200525" cy="2760352"/>
                  <wp:effectExtent b="0" l="0" r="0" t="0"/>
                  <wp:docPr id="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27603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Tauler de les professions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Dau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Xinxeta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Clip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10 a 15 minuts per persona/parelles.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Tauler de les professions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0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72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4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79">
            <w:pPr>
              <w:spacing w:line="276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7A">
            <w:pPr>
              <w:spacing w:line="276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7B">
            <w:pPr>
              <w:spacing w:line="276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7C">
            <w:pPr>
              <w:spacing w:line="276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7D">
            <w:pPr>
              <w:spacing w:line="276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7F">
            <w:pPr>
              <w:spacing w:line="276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80">
            <w:pPr>
              <w:spacing w:line="276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4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82">
            <w:pPr>
              <w:spacing w:line="276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B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forms.gle/F3tmN36jrEPsxbrT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yperlink" Target="https://drive.google.com/file/d/1TXERIz3ihaK4LP5ZPgYg_iB9fCvzZLZp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SZjFt6niuWvyGC6ofwKqliSgLQ==">CgMxLjA4AHIhMXVFNTdrdWxYSVI4MlJUUEUwdVlyWDJ0b25GYmxXalJr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