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8999.0" w:type="dxa"/>
        <w:jc w:val="left"/>
        <w:tblInd w:w="-108.0" w:type="dxa"/>
        <w:tblLayout w:type="fixed"/>
        <w:tblLook w:val="0400"/>
      </w:tblPr>
      <w:tblGrid>
        <w:gridCol w:w="2144"/>
        <w:gridCol w:w="6855"/>
        <w:tblGridChange w:id="0">
          <w:tblGrid>
            <w:gridCol w:w="2144"/>
            <w:gridCol w:w="685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Fútbol cooperatiu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Tots els territoris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Activitats lúdiques amb perspectiva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Lleure amb perspectiva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Comptar amb la perspectiva de gènere en espais de lleure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Cooperar a través del joc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0" w:line="24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20" w:before="0" w:line="24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9-12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Quántes vegades haurem escoltat: “les noies no saben jugar a fútbol”.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Quántes vegades hem sapigut de noies del nostre grup que han volgut jugar a fútbol però els nens no els han deixat i a més a més ho hem passat per alt?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Doncs bé, aquesta activitat es planteja per donar-li una volta a aquest fet. Per tant es planteja un fútbol cooperatiu. 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 haurà dos grups, com al joc tradicional. Pero aquesta vegada a cada grup hi haurà parelles de joc nen-nena que aniran agafats del braç. Per fer efectiu que tant ell com ella toquin la pilota, no podràn marcar fins que això passi. Ho podem complicar més: la noia és l’única persona que pot marcar.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acabar podem fer una rotllana de valoració per desmuntar dos mites: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l’esport és predomini dels nens.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les noies no saben jugar a fútbol. Ens podem basar en referents féminins del fútbol.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pilota de fútbol.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15-30’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3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3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3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3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0" distT="0" distL="0" distR="0">
          <wp:extent cx="973455" cy="4832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55" cy="483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Ind w:w="-100.0" w:type="dxa"/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fce5cd" w:val="clear"/>
        </w:tcPr>
        <w:p w:rsidR="00000000" w:rsidDel="00000000" w:rsidP="00000000" w:rsidRDefault="00000000" w:rsidRPr="00000000" w14:paraId="0000003F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normal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Cabeceraypie">
    <w:name w:val="Cabecera y pie"/>
    <w:basedOn w:val="Normal"/>
    <w:qFormat w:val="1"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G7wpREK1mm01IhC9lrZYM5jzQ==">CgMxLjA4AHIhMVBGNzZtc1JmVGFDdU5tWV9Yck5mTUtHUTlvaGgzbjJT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