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Jonathan Munoz</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02/02/16</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CSC-5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Project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48"/>
          <w:szCs w:val="48"/>
          <w:highlight w:val="white"/>
          <w:rtl w:val="0"/>
        </w:rPr>
        <w:t xml:space="preserve">Pig</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Pig is the name of the game. Normally, this game can be played with two or more players, but this program only allows play between two. The goal of the game is to attain 100 points. Points are acquired by rolling a die.  If a 1 is not rolled, the die can be rolled again and the die's value is added to the previous rolls. The player can also choose to hold, which ends their turn and adds the points gained during their turn to their total. If a 1 is rolled, however, all points gained during the player's turn are lost and their turn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highlight w:val="white"/>
          <w:rtl w:val="0"/>
        </w:rPr>
        <w:t xml:space="preserve">Pseudocode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Ask the users if they want to see the rules.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Ask the users for their names.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Randomly decide who goes first.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player rolls a die.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If the roll is not 1, allow the player to roll again or hold.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If the player eventually rolls a 1 or holds, the player's turn ends.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process repeats until one player reaches a score of 100 or more.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Ask the users if they want to record the scores.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highlight w:val="white"/>
          <w:rtl w:val="0"/>
        </w:rPr>
        <w:t xml:space="preserve">Flowchart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The flowchart appeared blurry in this text document, so it was excluded. It has been included in the folder as a separate image file.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