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drawing>
          <wp:inline distT="0" distB="0" distL="0" distR="0">
            <wp:extent cx="2667000" cy="800100"/>
            <wp:effectExtent t="0" r="0" b="0" l="0"/>
            <wp:docPr id="1" name="logo" descr="Logo SyWork" title="Sy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800100"/>
                    </a:xfrm>
                    <a:prstGeom prst="rect">
                      <a:avLst/>
                    </a:prstGeom>
                  </pic:spPr>
                </pic:pic>
              </a:graphicData>
            </a:graphic>
          </wp:inline>
        </w:drawing>
      </w:r>
    </w:p>
    <w:p>
      <w:pPr>
        <w:spacing w:before="500"/>
        <w:jc w:val="center"/>
      </w:pPr>
      <w:r>
        <w:rPr>
          <w:b/>
          <w:bCs/>
          <w:color w:val="353336"/>
          <w:sz w:val="56"/>
          <w:szCs w:val="56"/>
        </w:rPr>
        <w:t xml:space="preserve">SyWork Desk</w:t>
      </w:r>
    </w:p>
    <w:p>
      <w:pPr>
        <w:spacing w:before="120"/>
        <w:jc w:val="center"/>
      </w:pPr>
      <w:r>
        <w:rPr>
          <w:b/>
          <w:bCs/>
          <w:color w:val="EB3037"/>
          <w:sz w:val="32"/>
          <w:szCs w:val="32"/>
        </w:rPr>
        <w:t xml:space="preserve">Manual de Usuario</w:t>
      </w:r>
    </w:p>
    <w:p>
      <w:pPr>
        <w:spacing w:before="300"/>
        <w:jc w:val="center"/>
      </w:pPr>
      <w:r>
        <w:rPr>
          <w:i/>
          <w:iCs/>
          <w:color w:val="64748B"/>
          <w:sz w:val="22"/>
          <w:szCs w:val="22"/>
        </w:rPr>
        <w:t xml:space="preserve">Sistema de gestión de tickets de soporte</w:t>
      </w:r>
    </w:p>
    <w:p>
      <w:pPr>
        <w:spacing w:before="1600"/>
        <w:jc w:val="center"/>
      </w:pPr>
      <w:r>
        <w:rPr>
          <w:color w:val="475569"/>
          <w:sz w:val="20"/>
          <w:szCs w:val="20"/>
        </w:rPr>
        <w:t xml:space="preserve">SyWork — Consultoría Oracle ERP/CRM</w:t>
      </w:r>
    </w:p>
    <w:p>
      <w:pPr>
        <w:spacing w:before="60"/>
        <w:jc w:val="center"/>
      </w:pPr>
      <w:r>
        <w:rPr>
          <w:color w:val="64748B"/>
          <w:sz w:val="18"/>
          <w:szCs w:val="18"/>
        </w:rPr>
        <w:t xml:space="preserve">Versión del documento: Fase 1 — Tickets · Julio 2026</w:t>
      </w:r>
    </w:p>
    <w:p>
      <w:r>
        <w:br w:type="page"/>
      </w:r>
    </w:p>
    <w:p>
      <w:pPr>
        <w:pStyle w:val="Heading1"/>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Introducción</w:t>
      </w:r>
    </w:p>
    <w:p>
      <w:pPr>
        <w:spacing w:after="160" w:line="300"/>
      </w:pPr>
      <w:r>
        <w:t xml:space="preserve">SyWork Desk es el sistema interno de gestión de tickets de soporte para el equipo de consultoría Oracle ERP/CRM de SyWork. Reemplaza el manejo disperso de solicitudes de soporte (correo, chat, hojas de cálculo) por un flujo único y auditable: cada ticket nace, se asigna, avanza por un ciclo de vida definido y se cierra dejando un historial completo de quién hizo qué y cuándo.</w:t>
      </w:r>
    </w:p>
    <w:p>
      <w:pPr>
        <w:spacing w:after="160" w:line="300"/>
      </w:pPr>
      <w:r>
        <w:t xml:space="preserve">Este manual está dirigido a los cuatro perfiles que usan la aplicación día a día: Coordinadores (reciben y asignan tickets), Resolutores (los atienden y resuelven), QM — Quality Manager (apoyo técnico y asignación), y Administradores (configuración de clientes, proyectos, recursos y seguridad). Cada sección indica qué rol la usa.</w:t>
      </w:r>
    </w:p>
    <w:p>
      <w:pPr>
        <w:pStyle w:val="Heading2"/>
      </w:pPr>
      <w:r>
        <w:t xml:space="preserve">1.1 Alcance de esta versión</w:t>
      </w:r>
    </w:p>
    <w:p>
      <w:pPr>
        <w:spacing w:after="160" w:line="300"/>
      </w:pPr>
      <w:r>
        <w:t xml:space="preserve">Este manual documenta la Fase 1 del proyecto, que incluye:</w:t>
      </w:r>
    </w:p>
    <w:p>
      <w:pPr>
        <w:pStyle w:val="ListParagraph"/>
        <w:numPr>
          <w:ilvl w:val="0"/>
          <w:numId w:val="2"/>
        </w:numPr>
        <w:spacing w:after="80" w:line="280"/>
      </w:pPr>
      <w:r>
        <w:t xml:space="preserve">Los cuatro maestros base: Clientes, Proyectos, Recursos y Roles/Permisos.</w:t>
      </w:r>
    </w:p>
    <w:p>
      <w:pPr>
        <w:pStyle w:val="ListParagraph"/>
        <w:numPr>
          <w:ilvl w:val="0"/>
          <w:numId w:val="2"/>
        </w:numPr>
        <w:spacing w:after="80" w:line="280"/>
      </w:pPr>
      <w:r>
        <w:t xml:space="preserve">El ciclo de vida completo de tickets: creación, clasificación, asignación (Triage Push), avance por comentarios tipificados, cierre y cancelación.</w:t>
      </w:r>
    </w:p>
    <w:p>
      <w:pPr>
        <w:pStyle w:val="ListParagraph"/>
        <w:numPr>
          <w:ilvl w:val="0"/>
          <w:numId w:val="2"/>
        </w:numPr>
        <w:spacing w:after="80" w:line="280"/>
      </w:pPr>
      <w:r>
        <w:t xml:space="preserve">Tres formas de trabajar con tickets: listado con filtros, tablero Kanban y Panel de Asignación.</w:t>
      </w:r>
    </w:p>
    <w:p>
      <w:pPr>
        <w:pStyle w:val="ListParagraph"/>
        <w:numPr>
          <w:ilvl w:val="0"/>
          <w:numId w:val="2"/>
        </w:numPr>
        <w:spacing w:after="80" w:line="280"/>
      </w:pPr>
      <w:r>
        <w:t xml:space="preserve">Notificaciones internas y catálogos administrables (herramientas, procesos, tipos de resolución).</w:t>
      </w:r>
    </w:p>
    <w:p>
      <w:pPr>
        <w:pBdr>
          <w:left w:val="single" w:color="EB3037" w:sz="18" w:space="8"/>
        </w:pBdr>
        <w:shd w:fill="FDECEC" w:val="clear"/>
        <w:spacing w:after="200" w:before="80"/>
      </w:pPr>
      <w:r>
        <w:rPr>
          <w:i/>
          <w:iCs/>
          <w:color w:val="595959"/>
          <w:sz w:val="20"/>
          <w:szCs w:val="20"/>
        </w:rPr>
        <w:t xml:space="preserve">Nota: Funcionalidades como el control automático de SLA, el registro de tiempos, el “Focus Room” con asistente de IA y el portal de clientes pertenecen a fases futuras del proyecto y no están disponibles todavía. Donde la aplicación las anticipa visualmente, aparecen marcadas como “Próximamente”.</w:t>
      </w:r>
    </w:p>
    <w:p>
      <w:pPr>
        <w:pStyle w:val="Heading1"/>
      </w:pPr>
      <w:r>
        <w:t xml:space="preserve">2. Arquitectura del Sistema</w:t>
      </w:r>
    </w:p>
    <w:p>
      <w:pPr>
        <w:spacing w:after="160" w:line="300"/>
      </w:pPr>
      <w:r>
        <w:t xml:space="preserve">SyWork Desk es una aplicación web dividida en dos partes independientes que se comunican por una API REST: un backend que concentra toda la lógica de negocio y el acceso a datos, y un frontend (la aplicación que el usuario ve en el navegador) que consume esa API. Ambas partes, junto con la base de datos, corren en contenedores Docker sobre un servidor de la empresa (on-premise).</w:t>
      </w:r>
    </w:p>
    <w:p>
      <w:pPr>
        <w:pStyle w:val="Heading2"/>
      </w:pPr>
      <w:r>
        <w:t xml:space="preserve">2.1 Arquitectura limpia por capas (backend)</w:t>
      </w:r>
    </w:p>
    <w:p>
      <w:pPr>
        <w:spacing w:after="160" w:line="300"/>
      </w:pPr>
      <w:r>
        <w:t xml:space="preserve">El backend sigue el patrón de “Arquitectura Limpia” (Clean Architecture), que separa el código en tres capas con una única dirección de dependencia:</w:t>
      </w:r>
    </w:p>
    <w:p>
      <w:pPr>
        <w:pStyle w:val="ListParagraph"/>
        <w:numPr>
          <w:ilvl w:val="0"/>
          <w:numId w:val="3"/>
        </w:numPr>
        <w:spacing w:after="80" w:line="280"/>
      </w:pPr>
      <w:r>
        <w:t xml:space="preserve">Dominio — las reglas de negocio puras (por ejemplo, qué transiciones de estado son válidas para un ticket) sin ninguna dependencia de base de datos ni del framework web.</w:t>
      </w:r>
    </w:p>
    <w:p>
      <w:pPr>
        <w:pStyle w:val="ListParagraph"/>
        <w:numPr>
          <w:ilvl w:val="0"/>
          <w:numId w:val="3"/>
        </w:numPr>
        <w:spacing w:after="80" w:line="280"/>
      </w:pPr>
      <w:r>
        <w:t xml:space="preserve">Infraestructura — los modelos de base de datos, repositorios y migraciones que implementan cómo se guardan y consultan los datos.</w:t>
      </w:r>
    </w:p>
    <w:p>
      <w:pPr>
        <w:pStyle w:val="ListParagraph"/>
        <w:numPr>
          <w:ilvl w:val="0"/>
          <w:numId w:val="3"/>
        </w:numPr>
        <w:spacing w:after="80" w:line="280"/>
      </w:pPr>
      <w:r>
        <w:t xml:space="preserve">API — las rutas HTTP que reciben las peticiones del navegador, validan permisos y orquestan el dominio y la infraestructura.</w:t>
      </w:r>
    </w:p>
    <w:p>
      <w:pPr>
        <w:spacing w:after="160" w:line="300"/>
      </w:pPr>
      <w:r>
        <w:t xml:space="preserve">Esta separación es la razón por la que las reglas del ciclo de vida del ticket (qué estado sigue a cuál) están garantizadas de forma centralizada: no importa si la transición se intenta desde la pantalla, el tablero Kanban o directamente contra la API — la misma regla se aplica siempre.</w:t>
      </w:r>
    </w:p>
    <w:p>
      <w:pPr>
        <w:pStyle w:val="Heading2"/>
      </w:pPr>
      <w:r>
        <w:t xml:space="preserve">2.2 Frontend</w:t>
      </w:r>
    </w:p>
    <w:p>
      <w:pPr>
        <w:spacing w:after="160" w:line="300"/>
      </w:pPr>
      <w:r>
        <w:t xml:space="preserve">La aplicación web (SPA — Single Page Application) está organizada en componentes reutilizables, páginas por pantalla, servicios que hablan con la API, y un almacén de estado global (sesión del usuario, permisos). Toda la interfaz está en español y valida los formularios antes de enviarlos al servidor.</w:t>
      </w:r>
    </w:p>
    <w:p>
      <w:pPr>
        <w:pStyle w:val="Heading2"/>
      </w:pPr>
      <w:r>
        <w:t xml:space="preserve">2.3 Seguridad</w:t>
      </w:r>
    </w:p>
    <w:p>
      <w:pPr>
        <w:spacing w:after="160" w:line="300"/>
      </w:pPr>
      <w:r>
        <w:t xml:space="preserve">Todo el acceso a la aplicación requiere iniciar sesión. Cada usuario tiene un rol (Admin, Coordinador, QM o Resolutor) con permisos específicos por módulo y acción (ver, crear, editar, asignar, etc.). El sistema verifica esos permisos tanto en la interfaz — ocultando lo que el usuario no puede usar — como en el servidor, que rechaza cualquier intento de acceder a algo no autorizado, incluso si se intenta directamente contra la API sin pasar por la pantalla.</w:t>
      </w:r>
    </w:p>
    <w:p>
      <w:pPr>
        <w:spacing w:after="160" w:line="300"/>
      </w:pPr>
      <w:r>
        <w:t xml:space="preserve">Los datos sensibles (credenciales de VPN de clientes, información salarial de recursos) se almacenan cifrados en la base de datos y solo son visibles para los roles explícitamente autorizados.</w:t>
      </w:r>
    </w:p>
    <w:p>
      <w:pPr>
        <w:pStyle w:val="Heading1"/>
      </w:pPr>
      <w:r>
        <w:t xml:space="preserve">3. Herramientas y Tecnologías Utilizadas</w:t>
      </w:r>
    </w:p>
    <w:p>
      <w:pPr>
        <w:spacing w:after="160" w:line="300"/>
      </w:pPr>
      <w:r>
        <w:t xml:space="preserve">Estas son las tecnologías con las que está construida la aplicación. Esta sección es de referencia — un usuario final no necesita instalarlas ni configurarlas.</w:t>
      </w:r>
    </w:p>
    <w:p>
      <w:pPr>
        <w:pStyle w:val="Heading2"/>
      </w:pPr>
      <w:r>
        <w:t xml:space="preserve">3.1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Herramienta</w:t>
            </w:r>
          </w:p>
        </w:tc>
        <w:tc>
          <w:tcPr>
            <w:tcW w:type="dxa" w:w="616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Uso en el proyecto</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Python 3.12</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Lenguaje del servidor</w:t>
            </w:r>
          </w:p>
        </w:tc>
      </w:tr>
      <w:tr>
        <w:tc>
          <w:tcPr>
            <w:tcW w:type="dxa" w:w="3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Flask 3</w:t>
            </w:r>
          </w:p>
        </w:tc>
        <w:tc>
          <w:tcPr>
            <w:tcW w:type="dxa" w:w="61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Framework web que expone la API</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Flask-RESTX</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Documentación interactiva de la API (Swagger)</w:t>
            </w:r>
          </w:p>
        </w:tc>
      </w:tr>
      <w:tr>
        <w:tc>
          <w:tcPr>
            <w:tcW w:type="dxa" w:w="3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python-transitions</w:t>
            </w:r>
          </w:p>
        </w:tc>
        <w:tc>
          <w:tcPr>
            <w:tcW w:type="dxa" w:w="61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Máquina de estados que rige el ciclo de vida del ticket</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SQLAlchemy + Alembic</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Acceso a base de datos y control de versiones del esquema</w:t>
            </w:r>
          </w:p>
        </w:tc>
      </w:tr>
      <w:tr>
        <w:tc>
          <w:tcPr>
            <w:tcW w:type="dxa" w:w="3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PostgreSQL 16</w:t>
            </w:r>
          </w:p>
        </w:tc>
        <w:tc>
          <w:tcPr>
            <w:tcW w:type="dxa" w:w="61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Base de datos</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Flask-JWT-Extended</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Autenticación por token (sesión del usuario)</w:t>
            </w:r>
          </w:p>
        </w:tc>
      </w:tr>
      <w:tr>
        <w:tc>
          <w:tcPr>
            <w:tcW w:type="dxa" w:w="3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Google OAuth2</w:t>
            </w:r>
          </w:p>
        </w:tc>
        <w:tc>
          <w:tcPr>
            <w:tcW w:type="dxa" w:w="61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Inicio de sesión con cuenta corporativa @sywork.net</w:t>
            </w:r>
          </w:p>
        </w:tc>
      </w:tr>
    </w:tbl>
    <w:p>
      <w:pPr>
        <w:pStyle w:val="Heading2"/>
      </w:pPr>
      <w:r>
        <w:t xml:space="preserve">3.2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Herramienta</w:t>
            </w:r>
          </w:p>
        </w:tc>
        <w:tc>
          <w:tcPr>
            <w:tcW w:type="dxa" w:w="616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Uso en el proyecto</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React 19 + TypeScript</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Interfaz de usuario</w:t>
            </w:r>
          </w:p>
        </w:tc>
      </w:tr>
      <w:tr>
        <w:tc>
          <w:tcPr>
            <w:tcW w:type="dxa" w:w="3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Ant Design 5</w:t>
            </w:r>
          </w:p>
        </w:tc>
        <w:tc>
          <w:tcPr>
            <w:tcW w:type="dxa" w:w="61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Componentes visuales (tablas, formularios, menús)</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Zustand</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Manejo del estado de sesión en el navegador</w:t>
            </w:r>
          </w:p>
        </w:tc>
      </w:tr>
      <w:tr>
        <w:tc>
          <w:tcPr>
            <w:tcW w:type="dxa" w:w="3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React Router</w:t>
            </w:r>
          </w:p>
        </w:tc>
        <w:tc>
          <w:tcPr>
            <w:tcW w:type="dxa" w:w="61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Navegación entre pantallas</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@hello-pangea/dnd</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Arrastrar y soltar en el tablero Kanban</w:t>
            </w:r>
          </w:p>
        </w:tc>
      </w:tr>
      <w:tr>
        <w:tc>
          <w:tcPr>
            <w:tcW w:type="dxa" w:w="3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Axios</w:t>
            </w:r>
          </w:p>
        </w:tc>
        <w:tc>
          <w:tcPr>
            <w:tcW w:type="dxa" w:w="61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Comunicación con la API del backend</w:t>
            </w:r>
          </w:p>
        </w:tc>
      </w:tr>
    </w:tbl>
    <w:p>
      <w:pPr>
        <w:pStyle w:val="Heading2"/>
      </w:pPr>
      <w:r>
        <w:t xml:space="preserve">3.3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Herramienta</w:t>
            </w:r>
          </w:p>
        </w:tc>
        <w:tc>
          <w:tcPr>
            <w:tcW w:type="dxa" w:w="616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Uso en el proyecto</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Docker / Docker Compose</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Empaquetado y ejecución de los 3 servicios (base de datos, backend, frontend)</w:t>
            </w:r>
          </w:p>
        </w:tc>
      </w:tr>
      <w:tr>
        <w:tc>
          <w:tcPr>
            <w:tcW w:type="dxa" w:w="3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Ubuntu Server (recomendado)</w:t>
            </w:r>
          </w:p>
        </w:tc>
        <w:tc>
          <w:tcPr>
            <w:tcW w:type="dxa" w:w="61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Sistema operativo del servidor de despliegue</w:t>
            </w:r>
          </w:p>
        </w:tc>
      </w:tr>
    </w:tbl>
    <w:p>
      <w:pPr>
        <w:pStyle w:val="Heading1"/>
      </w:pPr>
      <w:r>
        <w:t xml:space="preserve">4. Primeros Pasos</w:t>
      </w:r>
    </w:p>
    <w:p>
      <w:pPr>
        <w:pStyle w:val="Heading2"/>
      </w:pPr>
      <w:r>
        <w:t xml:space="preserve">4.1 Iniciar sesión</w:t>
      </w:r>
    </w:p>
    <w:p>
      <w:pPr>
        <w:spacing w:after="160" w:line="300"/>
      </w:pPr>
      <w:r>
        <w:t xml:space="preserve">Al abrir la aplicación, cualquier usuario sin sesión activa es dirigido automáticamente a la pantalla de inicio de sesión. Hay dos formas de entrar:</w:t>
      </w:r>
    </w:p>
    <w:p>
      <w:pPr>
        <w:pStyle w:val="ListParagraph"/>
        <w:numPr>
          <w:ilvl w:val="0"/>
          <w:numId w:val="2"/>
        </w:numPr>
        <w:spacing w:after="80" w:line="280"/>
      </w:pPr>
      <w:r>
        <w:t xml:space="preserve">Usuario y contraseña — con las credenciales que el Administrador te asignó.</w:t>
      </w:r>
    </w:p>
    <w:p>
      <w:pPr>
        <w:pStyle w:val="ListParagraph"/>
        <w:numPr>
          <w:ilvl w:val="0"/>
          <w:numId w:val="2"/>
        </w:numPr>
        <w:spacing w:after="80" w:line="280"/>
      </w:pPr>
      <w:r>
        <w:t xml:space="preserve">Continuar con Google — usando tu cuenta corporativa @sywork.net (si está configurada en tu entorno).</w:t>
      </w:r>
    </w:p>
    <w:p>
      <w:pPr>
        <w:pBdr>
          <w:left w:val="single" w:color="EB3037" w:sz="18" w:space="8"/>
        </w:pBdr>
        <w:shd w:fill="FDECEC" w:val="clear"/>
        <w:spacing w:after="200" w:before="80"/>
      </w:pPr>
      <w:r>
        <w:rPr>
          <w:i/>
          <w:iCs/>
          <w:color w:val="595959"/>
          <w:sz w:val="20"/>
          <w:szCs w:val="20"/>
        </w:rPr>
        <w:t xml:space="preserve">Nota: Solo se permiten cuentas del dominio @sywork.net. Un Administrador debe crear tu usuario antes de tu primer ingreso — no existe registro por autoservicio.</w:t>
      </w:r>
    </w:p>
    <w:p>
      <w:pPr>
        <w:pStyle w:val="Heading2"/>
      </w:pPr>
      <w:r>
        <w:t xml:space="preserve">4.2 La pantalla principal</w:t>
      </w:r>
    </w:p>
    <w:p>
      <w:pPr>
        <w:spacing w:after="160" w:line="300"/>
      </w:pPr>
      <w:r>
        <w:t xml:space="preserve">Después de iniciar sesión verás un encabezado oscuro con el logo y tu rol/usuario a la derecha, y un menú lateral izquierdo con las secciones a las que tu rol tiene acceso. El menú se ajusta automáticamente: si no tienes permiso sobre un módulo, esa opción simplemente no aparece.</w:t>
      </w:r>
    </w:p>
    <w:p>
      <w:pPr>
        <w:pStyle w:val="ListParagraph"/>
        <w:numPr>
          <w:ilvl w:val="0"/>
          <w:numId w:val="2"/>
        </w:numPr>
        <w:spacing w:after="80" w:line="280"/>
      </w:pPr>
      <w:r>
        <w:t xml:space="preserve">Tickets — listado principal de tickets, con filtros.</w:t>
      </w:r>
    </w:p>
    <w:p>
      <w:pPr>
        <w:pStyle w:val="ListParagraph"/>
        <w:numPr>
          <w:ilvl w:val="0"/>
          <w:numId w:val="2"/>
        </w:numPr>
        <w:spacing w:after="80" w:line="280"/>
      </w:pPr>
      <w:r>
        <w:t xml:space="preserve">Kanban — tablero visual del ciclo de vida.</w:t>
      </w:r>
    </w:p>
    <w:p>
      <w:pPr>
        <w:pStyle w:val="ListParagraph"/>
        <w:numPr>
          <w:ilvl w:val="0"/>
          <w:numId w:val="2"/>
        </w:numPr>
        <w:spacing w:after="80" w:line="280"/>
      </w:pPr>
      <w:r>
        <w:t xml:space="preserve">Panel de Asignación — vista de carga de trabajo por resolutor (Coordinador/QM/Admin).</w:t>
      </w:r>
    </w:p>
    <w:p>
      <w:pPr>
        <w:pStyle w:val="ListParagraph"/>
        <w:numPr>
          <w:ilvl w:val="0"/>
          <w:numId w:val="2"/>
        </w:numPr>
        <w:spacing w:after="80" w:line="280"/>
      </w:pPr>
      <w:r>
        <w:t xml:space="preserve">Catálogos — administración de herramientas, procesos y tipos de resolución.</w:t>
      </w:r>
    </w:p>
    <w:p>
      <w:pPr>
        <w:pStyle w:val="ListParagraph"/>
        <w:numPr>
          <w:ilvl w:val="0"/>
          <w:numId w:val="2"/>
        </w:numPr>
        <w:spacing w:after="80" w:line="280"/>
      </w:pPr>
      <w:r>
        <w:t xml:space="preserve">Maestros — Clientes, Proyectos, Recursos, Roles y Permisos (según tu rol).</w:t>
      </w:r>
    </w:p>
    <w:p>
      <w:pPr>
        <w:pStyle w:val="Heading2"/>
      </w:pPr>
      <w:r>
        <w:t xml:space="preserve">4.3 Roles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Rol</w:t>
            </w:r>
          </w:p>
        </w:tc>
        <w:tc>
          <w:tcPr>
            <w:tcW w:type="dxa" w:w="696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Qué hace en el día a día</w:t>
            </w:r>
          </w:p>
        </w:tc>
      </w:tr>
      <w:tr>
        <w:tc>
          <w:tcPr>
            <w:tcW w:type="dxa" w:w="24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Administrador</w:t>
            </w:r>
          </w:p>
        </w:tc>
        <w:tc>
          <w:tcPr>
            <w:tcW w:type="dxa" w:w="69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Configura clientes, proyectos, recursos, usuarios, roles y permisos. Acceso total.</w:t>
            </w:r>
          </w:p>
        </w:tc>
      </w:tr>
      <w:tr>
        <w:tc>
          <w:tcPr>
            <w:tcW w:type="dxa" w:w="24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Coordinador</w:t>
            </w:r>
          </w:p>
        </w:tc>
        <w:tc>
          <w:tcPr>
            <w:tcW w:type="dxa" w:w="69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Recibe tickets nuevos, decide a quién asignarlos (Triage), supervisa el Panel de Asignación.</w:t>
            </w:r>
          </w:p>
        </w:tc>
      </w:tr>
      <w:tr>
        <w:tc>
          <w:tcPr>
            <w:tcW w:type="dxa" w:w="24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QM (Quality Manager)</w:t>
            </w:r>
          </w:p>
        </w:tc>
        <w:tc>
          <w:tcPr>
            <w:tcW w:type="dxa" w:w="69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Apoya al Coordinador en el análisis técnico previo a asignar; también resuelve tickets.</w:t>
            </w:r>
          </w:p>
        </w:tc>
      </w:tr>
      <w:tr>
        <w:tc>
          <w:tcPr>
            <w:tcW w:type="dxa" w:w="24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Resolutor</w:t>
            </w:r>
          </w:p>
        </w:tc>
        <w:tc>
          <w:tcPr>
            <w:tcW w:type="dxa" w:w="69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Atiende y resuelve los tickets que tiene asignados: analiza, ejecuta, cierra.</w:t>
            </w:r>
          </w:p>
        </w:tc>
      </w:tr>
    </w:tbl>
    <w:p>
      <w:pPr>
        <w:pStyle w:val="Heading1"/>
      </w:pPr>
      <w:r>
        <w:t xml:space="preserve">5. Gestión de Maestros</w:t>
      </w:r>
    </w:p>
    <w:p>
      <w:pPr>
        <w:spacing w:after="160" w:line="300"/>
      </w:pPr>
      <w:r>
        <w:t xml:space="preserve">Los “maestros” son los datos base sobre los que se construyen los tickets: quién es el cliente, a qué proyecto pertenece, quién puede resolverlo. Deben existir antes de poder registrar tickets.</w:t>
      </w:r>
    </w:p>
    <w:p>
      <w:pPr>
        <w:pStyle w:val="Heading2"/>
      </w:pPr>
      <w:r>
        <w:t xml:space="preserve">5.1 Clientes</w:t>
      </w:r>
    </w:p>
    <w:p>
      <w:pPr>
        <w:spacing w:after="160" w:line="300"/>
      </w:pPr>
      <w:r>
        <w:t xml:space="preserve">Registra las empresas a las que SyWork da soporte. Cada cliente tiene datos de contacto, facturación anual y su portafolio de sistemas (qué ERP/WMS/CRM usa, marca y versión — por ejemplo ERP / JD Edwards / 9.2).</w:t>
      </w:r>
    </w:p>
    <w:p>
      <w:pPr>
        <w:pStyle w:val="ListParagraph"/>
        <w:numPr>
          <w:ilvl w:val="0"/>
          <w:numId w:val="2"/>
        </w:numPr>
        <w:spacing w:after="80" w:line="280"/>
      </w:pPr>
      <w:r>
        <w:t xml:space="preserve">Admin, Coordinador y QM pueden crear, editar y desactivar clientes.</w:t>
      </w:r>
    </w:p>
    <w:p>
      <w:pPr>
        <w:pStyle w:val="ListParagraph"/>
        <w:numPr>
          <w:ilvl w:val="0"/>
          <w:numId w:val="2"/>
        </w:numPr>
        <w:spacing w:after="80" w:line="280"/>
      </w:pPr>
      <w:r>
        <w:t xml:space="preserve">Un Resolutor solo puede consultar el listado, sin editar.</w:t>
      </w:r>
    </w:p>
    <w:p>
      <w:pPr>
        <w:pStyle w:val="ListParagraph"/>
        <w:numPr>
          <w:ilvl w:val="0"/>
          <w:numId w:val="2"/>
        </w:numPr>
        <w:spacing w:after="80" w:line="280"/>
      </w:pPr>
      <w:r>
        <w:t xml:space="preserve">Las credenciales de VPN e IPs de conexión están cifradas y ocultas por defecto (••••••••); solo Admin y Coordinador pueden revelarlas con el ícono de ojo.</w:t>
      </w:r>
    </w:p>
    <w:p>
      <w:pPr>
        <w:pStyle w:val="ListParagraph"/>
        <w:numPr>
          <w:ilvl w:val="0"/>
          <w:numId w:val="2"/>
        </w:numPr>
        <w:spacing w:after="80" w:line="280"/>
      </w:pPr>
      <w:r>
        <w:t xml:space="preserve">Un cliente puede desactivarse (y reactivarse) sin perder su historial de proyectos y tickets.</w:t>
      </w:r>
    </w:p>
    <w:p>
      <w:pPr>
        <w:pStyle w:val="Heading2"/>
      </w:pPr>
      <w:r>
        <w:t xml:space="preserve">5.2 Proyectos</w:t>
      </w:r>
    </w:p>
    <w:p>
      <w:pPr>
        <w:spacing w:after="160" w:line="300"/>
      </w:pPr>
      <w:r>
        <w:t xml:space="preserve">Cada proyecto pertenece a un cliente e incluye overview, valores de venta (servicios, licencias, suscripciones) y componentes vendidos. Los tickets pueden asociarse opcionalmente a un proyecto para dar contexto.</w:t>
      </w:r>
    </w:p>
    <w:p>
      <w:pPr>
        <w:pStyle w:val="ListParagraph"/>
        <w:numPr>
          <w:ilvl w:val="0"/>
          <w:numId w:val="2"/>
        </w:numPr>
        <w:spacing w:after="80" w:line="280"/>
      </w:pPr>
      <w:r>
        <w:t xml:space="preserve">Admin y Coordinador administran proyectos por completo.</w:t>
      </w:r>
    </w:p>
    <w:p>
      <w:pPr>
        <w:pStyle w:val="ListParagraph"/>
        <w:numPr>
          <w:ilvl w:val="0"/>
          <w:numId w:val="2"/>
        </w:numPr>
        <w:spacing w:after="80" w:line="280"/>
      </w:pPr>
      <w:r>
        <w:t xml:space="preserve">QM y Resolutor solo consultan y filtran por cliente.</w:t>
      </w:r>
    </w:p>
    <w:p>
      <w:pPr>
        <w:pStyle w:val="ListParagraph"/>
        <w:numPr>
          <w:ilvl w:val="0"/>
          <w:numId w:val="2"/>
        </w:numPr>
        <w:spacing w:after="80" w:line="280"/>
      </w:pPr>
      <w:r>
        <w:t xml:space="preserve">Un proyecto inactivo no aparece como opción al crear tickets nuevos, pero los tickets existentes conservan la referencia.</w:t>
      </w:r>
    </w:p>
    <w:p>
      <w:pPr>
        <w:pStyle w:val="Heading2"/>
      </w:pPr>
      <w:r>
        <w:t xml:space="preserve">5.3 Recursos</w:t>
      </w:r>
    </w:p>
    <w:p>
      <w:pPr>
        <w:spacing w:after="160" w:line="300"/>
      </w:pPr>
      <w:r>
        <w:t xml:space="preserve">El maestro de personas del equipo de SyWork: consultores, coordinadores, QMs. Cada recurso tiene un perfil con datos personales, especialidad, seniority, certificaciones, equipo y jefe directo, además de las Skills técnicas (por ejemplo JDE_GL, API_REST, Oracle_Fusion) que el Coordinador usa para decidir a quién asignar un ticket.</w:t>
      </w:r>
    </w:p>
    <w:p>
      <w:pPr>
        <w:pStyle w:val="ListParagraph"/>
        <w:numPr>
          <w:ilvl w:val="0"/>
          <w:numId w:val="2"/>
        </w:numPr>
        <w:spacing w:after="80" w:line="280"/>
      </w:pPr>
      <w:r>
        <w:t xml:space="preserve">Admin, Coordinador y QM comparten el mismo nivel de acceso completo.</w:t>
      </w:r>
    </w:p>
    <w:p>
      <w:pPr>
        <w:pStyle w:val="ListParagraph"/>
        <w:numPr>
          <w:ilvl w:val="0"/>
          <w:numId w:val="2"/>
        </w:numPr>
        <w:spacing w:after="80" w:line="280"/>
      </w:pPr>
      <w:r>
        <w:t xml:space="preserve">Un Resolutor solo puede ver y editar su propio perfil.</w:t>
      </w:r>
    </w:p>
    <w:p>
      <w:pPr>
        <w:pStyle w:val="ListParagraph"/>
        <w:numPr>
          <w:ilvl w:val="0"/>
          <w:numId w:val="2"/>
        </w:numPr>
        <w:spacing w:after="80" w:line="280"/>
      </w:pPr>
      <w:r>
        <w:t xml:space="preserve">El área de Compensación (salario, costo hora) está cifrada y visible únicamente para Administradores.</w:t>
      </w:r>
    </w:p>
    <w:p>
      <w:pPr>
        <w:pStyle w:val="Heading2"/>
      </w:pPr>
      <w:r>
        <w:t xml:space="preserve">5.4 Roles y Permisos</w:t>
      </w:r>
    </w:p>
    <w:p>
      <w:pPr>
        <w:spacing w:after="160" w:line="300"/>
      </w:pPr>
      <w:r>
        <w:t xml:space="preserve">Pantalla exclusiva de Administrador. Permite crear roles adicionales a los cuatro iniciales y ajustar, para cualquier rol, qué acción puede realizar en cada módulo mediante una matriz de casillas (módulo × acción). El sistema garantiza que siempre exista al menos un Administrador activo.</w:t>
      </w:r>
    </w:p>
    <w:p>
      <w:pPr>
        <w:pStyle w:val="Heading1"/>
      </w:pPr>
      <w:r>
        <w:t xml:space="preserve">6. Gestión de Tickets</w:t>
      </w:r>
    </w:p>
    <w:p>
      <w:pPr>
        <w:pStyle w:val="Heading2"/>
      </w:pPr>
      <w:r>
        <w:t xml:space="preserve">6.1 Crear un ticket</w:t>
      </w:r>
    </w:p>
    <w:p>
      <w:pPr>
        <w:spacing w:after="160" w:line="300"/>
      </w:pPr>
      <w:r>
        <w:t xml:space="preserve">Desde la pantalla Tickets, el botón “Nuevo ticket” abre un formulario con los siguientes campos: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Campo</w:t>
            </w:r>
          </w:p>
        </w:tc>
        <w:tc>
          <w:tcPr>
            <w:tcW w:type="dxa" w:w="636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Descripción</w:t>
            </w:r>
          </w:p>
        </w:tc>
      </w:tr>
      <w:tr>
        <w:tc>
          <w:tcPr>
            <w:tcW w:type="dxa" w:w="30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Título / Descripción</w:t>
            </w:r>
          </w:p>
        </w:tc>
        <w:tc>
          <w:tcPr>
            <w:tcW w:type="dxa" w:w="63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Resumen y detalle del problema o solicitud</w:t>
            </w:r>
          </w:p>
        </w:tc>
      </w:tr>
      <w:tr>
        <w:tc>
          <w:tcPr>
            <w:tcW w:type="dxa" w:w="30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Cliente</w:t>
            </w:r>
          </w:p>
        </w:tc>
        <w:tc>
          <w:tcPr>
            <w:tcW w:type="dxa" w:w="63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Obligatorio — solo clientes activos</w:t>
            </w:r>
          </w:p>
        </w:tc>
      </w:tr>
      <w:tr>
        <w:tc>
          <w:tcPr>
            <w:tcW w:type="dxa" w:w="30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Proyecto</w:t>
            </w:r>
          </w:p>
        </w:tc>
        <w:tc>
          <w:tcPr>
            <w:tcW w:type="dxa" w:w="63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Opcional — solo proyectos activos del cliente elegido</w:t>
            </w:r>
          </w:p>
        </w:tc>
      </w:tr>
      <w:tr>
        <w:tc>
          <w:tcPr>
            <w:tcW w:type="dxa" w:w="30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Tipo</w:t>
            </w:r>
          </w:p>
        </w:tc>
        <w:tc>
          <w:tcPr>
            <w:tcW w:type="dxa" w:w="63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Incidente, Evolutivo o Preventivo</w:t>
            </w:r>
          </w:p>
        </w:tc>
      </w:tr>
      <w:tr>
        <w:tc>
          <w:tcPr>
            <w:tcW w:type="dxa" w:w="30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Prioridad</w:t>
            </w:r>
          </w:p>
        </w:tc>
        <w:tc>
          <w:tcPr>
            <w:tcW w:type="dxa" w:w="63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Crítica, Alta, Media o Baja</w:t>
            </w:r>
          </w:p>
        </w:tc>
      </w:tr>
      <w:tr>
        <w:tc>
          <w:tcPr>
            <w:tcW w:type="dxa" w:w="30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Severidad</w:t>
            </w:r>
          </w:p>
        </w:tc>
        <w:tc>
          <w:tcPr>
            <w:tcW w:type="dxa" w:w="63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S1 (más grave) a S4</w:t>
            </w:r>
          </w:p>
        </w:tc>
      </w:tr>
      <w:tr>
        <w:tc>
          <w:tcPr>
            <w:tcW w:type="dxa" w:w="30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Herramienta / Proceso</w:t>
            </w:r>
          </w:p>
        </w:tc>
        <w:tc>
          <w:tcPr>
            <w:tcW w:type="dxa" w:w="63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Catálogos administrables — p. ej. JDE / Finanzas</w:t>
            </w:r>
          </w:p>
        </w:tc>
      </w:tr>
      <w:tr>
        <w:tc>
          <w:tcPr>
            <w:tcW w:type="dxa" w:w="30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Nivel de escalamiento</w:t>
            </w:r>
          </w:p>
        </w:tc>
        <w:tc>
          <w:tcPr>
            <w:tcW w:type="dxa" w:w="63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N1 a N4 (por defecto N2)</w:t>
            </w:r>
          </w:p>
        </w:tc>
      </w:tr>
    </w:tbl>
    <w:p>
      <w:pPr>
        <w:spacing w:after="160" w:line="300"/>
      </w:pPr>
      <w:r>
        <w:t xml:space="preserve">Al guardarlo, el ticket nace siempre en estado NUEVO con un número consecutivo legible (por ejemplo TK-000123) y aparece de inmediato en el listado.</w:t>
      </w:r>
    </w:p>
    <w:p>
      <w:pPr>
        <w:pStyle w:val="Heading2"/>
      </w:pPr>
      <w:r>
        <w:t xml:space="preserve">6.2 Consultar y filtrar</w:t>
      </w:r>
    </w:p>
    <w:p>
      <w:pPr>
        <w:spacing w:after="160" w:line="300"/>
      </w:pPr>
      <w:r>
        <w:t xml:space="preserve">El listado principal permite buscar por título o número, y filtrar combinando estado, cliente, prioridad y resolutor asignado. Un panel de tarjetas en la parte superior muestra un resumen: tickets nuevos, en progreso, pendientes de usuario y resueltos.</w:t>
      </w:r>
    </w:p>
    <w:p>
      <w:pPr>
        <w:pStyle w:val="Heading2"/>
      </w:pPr>
      <w:r>
        <w:t xml:space="preserve">6.3 El detalle del ticket</w:t>
      </w:r>
    </w:p>
    <w:p>
      <w:pPr>
        <w:spacing w:after="160" w:line="300"/>
      </w:pPr>
      <w:r>
        <w:t xml:space="preserve">Al abrir un ticket se ve toda su clasificación, el estado actual, el historial completo de cambios de estado (quién, cuándo, por qué comentario) y el hilo de comentarios. Algunos campos se bloquean o desbloquean automáticamente según el estado — por ejemplo, la prioridad y severidad se bloquean en Contacto y se liberan en En Análisis.</w:t>
      </w:r>
    </w:p>
    <w:p>
      <w:pPr>
        <w:pStyle w:val="Heading1"/>
      </w:pPr>
      <w:r>
        <w:t xml:space="preserve">7. Ciclo de Vida del Ticket</w:t>
      </w:r>
    </w:p>
    <w:p>
      <w:pPr>
        <w:spacing w:after="160" w:line="300"/>
      </w:pPr>
      <w:r>
        <w:t xml:space="preserve">Un ticket avanza por una secuencia fija de estados. La aplicación solo permite los movimientos definidos en esta matriz — cualquier otro intento es rechazado con un mensaje explicando qué acciones sí son válidas desde el estado actual.</w:t>
      </w:r>
    </w:p>
    <w:p>
      <w:pPr>
        <w:pStyle w:val="Heading2"/>
      </w:pPr>
      <w:r>
        <w:t xml:space="preserve">7.1 Los 9 estados (más Cancelado)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Estado</w:t>
            </w:r>
          </w:p>
        </w:tc>
        <w:tc>
          <w:tcPr>
            <w:tcW w:type="dxa" w:w="220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¿Quién actúa?</w:t>
            </w:r>
          </w:p>
        </w:tc>
        <w:tc>
          <w:tcPr>
            <w:tcW w:type="dxa" w:w="456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Cómo se llega</w:t>
            </w:r>
          </w:p>
        </w:tc>
      </w:tr>
      <w:tr>
        <w:tc>
          <w:tcPr>
            <w:tcW w:type="dxa" w:w="26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Nuevo</w:t>
            </w:r>
          </w:p>
        </w:tc>
        <w:tc>
          <w:tcPr>
            <w:tcW w:type="dxa" w:w="2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Coordinador</w:t>
            </w:r>
          </w:p>
        </w:tc>
        <w:tc>
          <w:tcPr>
            <w:tcW w:type="dxa" w:w="45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Al crear el ticket</w:t>
            </w:r>
          </w:p>
        </w:tc>
      </w:tr>
      <w:tr>
        <w:tc>
          <w:tcPr>
            <w:tcW w:type="dxa" w:w="26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Pre-Análisis</w:t>
            </w:r>
          </w:p>
        </w:tc>
        <w:tc>
          <w:tcPr>
            <w:tcW w:type="dxa" w:w="2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QM</w:t>
            </w:r>
          </w:p>
        </w:tc>
        <w:tc>
          <w:tcPr>
            <w:tcW w:type="dxa" w:w="45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Coordinador lo deriva al QM</w:t>
            </w:r>
          </w:p>
        </w:tc>
      </w:tr>
      <w:tr>
        <w:tc>
          <w:tcPr>
            <w:tcW w:type="dxa" w:w="26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Contacto</w:t>
            </w:r>
          </w:p>
        </w:tc>
        <w:tc>
          <w:tcPr>
            <w:tcW w:type="dxa" w:w="2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Resolutor</w:t>
            </w:r>
          </w:p>
        </w:tc>
        <w:tc>
          <w:tcPr>
            <w:tcW w:type="dxa" w:w="45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Coordinador o QM asigna un resolutor</w:t>
            </w:r>
          </w:p>
        </w:tc>
      </w:tr>
      <w:tr>
        <w:tc>
          <w:tcPr>
            <w:tcW w:type="dxa" w:w="26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En Análisis</w:t>
            </w:r>
          </w:p>
        </w:tc>
        <w:tc>
          <w:tcPr>
            <w:tcW w:type="dxa" w:w="2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Resolutor</w:t>
            </w:r>
          </w:p>
        </w:tc>
        <w:tc>
          <w:tcPr>
            <w:tcW w:type="dxa" w:w="45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Comentario “Confirmación de atención”</w:t>
            </w:r>
          </w:p>
        </w:tc>
      </w:tr>
      <w:tr>
        <w:tc>
          <w:tcPr>
            <w:tcW w:type="dxa" w:w="26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En Ejecución</w:t>
            </w:r>
          </w:p>
        </w:tc>
        <w:tc>
          <w:tcPr>
            <w:tcW w:type="dxa" w:w="2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Resolutor</w:t>
            </w:r>
          </w:p>
        </w:tc>
        <w:tc>
          <w:tcPr>
            <w:tcW w:type="dxa" w:w="45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Comentario “Termina análisis” o respuesta del usuario</w:t>
            </w:r>
          </w:p>
        </w:tc>
      </w:tr>
      <w:tr>
        <w:tc>
          <w:tcPr>
            <w:tcW w:type="dxa" w:w="26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En Pruebas</w:t>
            </w:r>
          </w:p>
        </w:tc>
        <w:tc>
          <w:tcPr>
            <w:tcW w:type="dxa" w:w="2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Resolutor</w:t>
            </w:r>
          </w:p>
        </w:tc>
        <w:tc>
          <w:tcPr>
            <w:tcW w:type="dxa" w:w="45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El propio resolutor lo activa (opcional)</w:t>
            </w:r>
          </w:p>
        </w:tc>
      </w:tr>
      <w:tr>
        <w:tc>
          <w:tcPr>
            <w:tcW w:type="dxa" w:w="26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Pendiente de Usuario</w:t>
            </w:r>
          </w:p>
        </w:tc>
        <w:tc>
          <w:tcPr>
            <w:tcW w:type="dxa" w:w="2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Usuario / cliente</w:t>
            </w:r>
          </w:p>
        </w:tc>
        <w:tc>
          <w:tcPr>
            <w:tcW w:type="dxa" w:w="45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Comentario “Solicitud de información”</w:t>
            </w:r>
          </w:p>
        </w:tc>
      </w:tr>
      <w:tr>
        <w:tc>
          <w:tcPr>
            <w:tcW w:type="dxa" w:w="26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Resuelto</w:t>
            </w:r>
          </w:p>
        </w:tc>
        <w:tc>
          <w:tcPr>
            <w:tcW w:type="dxa" w:w="2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Usuario / cliente</w:t>
            </w:r>
          </w:p>
        </w:tc>
        <w:tc>
          <w:tcPr>
            <w:tcW w:type="dxa" w:w="45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Comentario “Solicitud de cierre”</w:t>
            </w:r>
          </w:p>
        </w:tc>
      </w:tr>
      <w:tr>
        <w:tc>
          <w:tcPr>
            <w:tcW w:type="dxa" w:w="26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Cerrado</w:t>
            </w:r>
          </w:p>
        </w:tc>
        <w:tc>
          <w:tcPr>
            <w:tcW w:type="dxa" w:w="2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Resolutor</w:t>
            </w:r>
          </w:p>
        </w:tc>
        <w:tc>
          <w:tcPr>
            <w:tcW w:type="dxa" w:w="45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Usuario acepta la resolución, o pasan 3 días sin respuesta</w:t>
            </w:r>
          </w:p>
        </w:tc>
      </w:tr>
      <w:tr>
        <w:tc>
          <w:tcPr>
            <w:tcW w:type="dxa" w:w="26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Cancelado</w:t>
            </w:r>
          </w:p>
        </w:tc>
        <w:tc>
          <w:tcPr>
            <w:tcW w:type="dxa" w:w="2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Coordinador</w:t>
            </w:r>
          </w:p>
        </w:tc>
        <w:tc>
          <w:tcPr>
            <w:tcW w:type="dxa" w:w="45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Desde cualquier estado no final, con motivo obligatorio</w:t>
            </w:r>
          </w:p>
        </w:tc>
      </w:tr>
    </w:tbl>
    <w:p>
      <w:pPr>
        <w:pStyle w:val="Heading2"/>
      </w:pPr>
      <w:r>
        <w:t xml:space="preserve">7.2 Comentarios tipificados: el motor del avance</w:t>
      </w:r>
    </w:p>
    <w:p>
      <w:pPr>
        <w:spacing w:after="160" w:line="300"/>
      </w:pPr>
      <w:r>
        <w:t xml:space="preserve">El ticket NO se avanza cambiando un campo “Estado” a mano. Se avanza registrando un comentario de un tipo específico — el sistema reconoce ese tipo y ejecuta la transición correspondiente en la misma operación. Esto deja siempre un registro de por qué cambió el estado, no solo de que cambió.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Tipo de comentario</w:t>
            </w:r>
          </w:p>
        </w:tc>
        <w:tc>
          <w:tcPr>
            <w:tcW w:type="dxa" w:w="616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Efecto</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Asignado / Pre-Análisis</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Automáticos al asignar (Triage Push) — no se escriben a mano</w:t>
            </w:r>
          </w:p>
        </w:tc>
      </w:tr>
      <w:tr>
        <w:tc>
          <w:tcPr>
            <w:tcW w:type="dxa" w:w="3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Confirmación de atención</w:t>
            </w:r>
          </w:p>
        </w:tc>
        <w:tc>
          <w:tcPr>
            <w:tcW w:type="dxa" w:w="61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Contacto → En Análisis</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Termina análisis</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En Análisis → En Ejecución</w:t>
            </w:r>
          </w:p>
        </w:tc>
      </w:tr>
      <w:tr>
        <w:tc>
          <w:tcPr>
            <w:tcW w:type="dxa" w:w="3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Solicitud de información</w:t>
            </w:r>
          </w:p>
        </w:tc>
        <w:tc>
          <w:tcPr>
            <w:tcW w:type="dxa" w:w="61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Lleva a Pendiente de Usuario</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Respuesta de usuario</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Pendiente de Usuario → En Ejecución</w:t>
            </w:r>
          </w:p>
        </w:tc>
      </w:tr>
      <w:tr>
        <w:tc>
          <w:tcPr>
            <w:tcW w:type="dxa" w:w="3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Solicitud de cierre</w:t>
            </w:r>
          </w:p>
        </w:tc>
        <w:tc>
          <w:tcPr>
            <w:tcW w:type="dxa" w:w="61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En Ejecución / En Pruebas → Resuelto</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Descripción solución</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Obligatorio, junto con el Tipo de resolución, para Cerrar</w:t>
            </w:r>
          </w:p>
        </w:tc>
      </w:tr>
      <w:tr>
        <w:tc>
          <w:tcPr>
            <w:tcW w:type="dxa" w:w="3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Comentario interno</w:t>
            </w:r>
          </w:p>
        </w:tc>
        <w:tc>
          <w:tcPr>
            <w:tcW w:type="dxa" w:w="61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Sin efecto de estado — solo bitácora</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Cancelación</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Motivo obligatorio al cancelar el ticket</w:t>
            </w:r>
          </w:p>
        </w:tc>
      </w:tr>
    </w:tbl>
    <w:p>
      <w:pPr>
        <w:pBdr>
          <w:left w:val="single" w:color="EB3037" w:sz="18" w:space="8"/>
        </w:pBdr>
        <w:shd w:fill="FDECEC" w:val="clear"/>
        <w:spacing w:after="200" w:before="80"/>
      </w:pPr>
      <w:r>
        <w:rPr>
          <w:i/>
          <w:iCs/>
          <w:color w:val="595959"/>
          <w:sz w:val="20"/>
          <w:szCs w:val="20"/>
        </w:rPr>
        <w:t xml:space="preserve">Nota: Como el cliente final todavía no tiene acceso directo al sistema (llegará en una fase futura con el Portal de Clientes), el Resolutor o Coordinador registra en su nombre los comentarios “Respuesta de usuario” y la aceptación/rechazo de la resolución, a partir de lo recibido por correo o llamada.</w:t>
      </w:r>
    </w:p>
    <w:p>
      <w:pPr>
        <w:pStyle w:val="Heading2"/>
      </w:pPr>
      <w:r>
        <w:t xml:space="preserve">7.3 Adjuntos</w:t>
      </w:r>
    </w:p>
    <w:p>
      <w:pPr>
        <w:spacing w:after="160" w:line="300"/>
      </w:pPr>
      <w:r>
        <w:t xml:space="preserve">Cualquier comentario admite uno o más archivos adjuntos (máximo 10 MB por archivo). Quedan asociados al comentario y son descargables desde el detalle del ticket.</w:t>
      </w:r>
    </w:p>
    <w:p>
      <w:pPr>
        <w:pStyle w:val="Heading2"/>
      </w:pPr>
      <w:r>
        <w:t xml:space="preserve">7.4 Cerrar un ticket</w:t>
      </w:r>
    </w:p>
    <w:p>
      <w:pPr>
        <w:spacing w:after="160" w:line="300"/>
      </w:pPr>
      <w:r>
        <w:t xml:space="preserve">Para pasar un ticket a Cerrado, el Resolutor debe: (1) que el usuario haya aceptado la resolución, o que hayan pasado 3 días sin respuesta desde que quedó en Resuelto; y (2) registrar el Tipo de resolución (catálogo) junto con un comentario de “Descripción solución”. Sin ambos requisitos, el cierre queda bloqueado. Al cerrarse, se notifica automáticamente al Coordinador y al QM.</w:t>
      </w:r>
    </w:p>
    <w:p>
      <w:pPr>
        <w:pStyle w:val="Heading1"/>
      </w:pPr>
      <w:r>
        <w:t xml:space="preserve">8. Asignación de Tickets (Triage Push)</w:t>
      </w:r>
    </w:p>
    <w:p>
      <w:pPr>
        <w:spacing w:after="160" w:line="300"/>
      </w:pPr>
      <w:r>
        <w:t xml:space="preserve">Cuando un ticket está en Nuevo o Pre-Análisis, el Coordinador (o QM/Admin) puede asignarlo desde el detalle del ticket, el tablero Kanban o el Panel de Asignación — el resultado es siempre el mismo, porque la asignación es una única función del sistema, sin importar desde dónde se dispara.</w:t>
      </w:r>
    </w:p>
    <w:p>
      <w:pPr>
        <w:pStyle w:val="Heading2"/>
      </w:pPr>
      <w:r>
        <w:t xml:space="preserve">8.1 Cómo asignar</w:t>
      </w:r>
    </w:p>
    <w:p>
      <w:pPr>
        <w:pStyle w:val="ListParagraph"/>
        <w:numPr>
          <w:ilvl w:val="0"/>
          <w:numId w:val="3"/>
        </w:numPr>
        <w:spacing w:after="80" w:line="280"/>
      </w:pPr>
      <w:r>
        <w:t xml:space="preserve">Abrir el ticket (o usar el botón de asignar en el listado/Kanban/panel).</w:t>
      </w:r>
    </w:p>
    <w:p>
      <w:pPr>
        <w:pStyle w:val="ListParagraph"/>
        <w:numPr>
          <w:ilvl w:val="0"/>
          <w:numId w:val="3"/>
        </w:numPr>
        <w:spacing w:after="80" w:line="280"/>
      </w:pPr>
      <w:r>
        <w:t xml:space="preserve">El sistema muestra los resolutores activos, cada uno con sus skills y su carga actual de trabajo (cuántos tickets abiertos tiene), ordenados de menor a mayor carga.</w:t>
      </w:r>
    </w:p>
    <w:p>
      <w:pPr>
        <w:pStyle w:val="ListParagraph"/>
        <w:numPr>
          <w:ilvl w:val="0"/>
          <w:numId w:val="3"/>
        </w:numPr>
        <w:spacing w:after="80" w:line="280"/>
      </w:pPr>
      <w:r>
        <w:t xml:space="preserve">Elegir un resolutor y presionar “Asignar resolutor” (pasa a Contacto) o “Pre-Análisis (QM)” si se requiere apoyo técnico primero (pasa a Pre-Análisis).</w:t>
      </w:r>
    </w:p>
    <w:p>
      <w:pPr>
        <w:spacing w:after="160" w:line="300"/>
      </w:pPr>
      <w:r>
        <w:t xml:space="preserve">La asignación genera automáticamente un comentario de tipo “Asignado” (o “Pre-Análisis”) y una notificación interna para la persona asignada.</w:t>
      </w:r>
    </w:p>
    <w:p>
      <w:pPr>
        <w:pBdr>
          <w:left w:val="single" w:color="EB3037" w:sz="18" w:space="8"/>
        </w:pBdr>
        <w:shd w:fill="FDECEC" w:val="clear"/>
        <w:spacing w:after="200" w:before="80"/>
      </w:pPr>
      <w:r>
        <w:rPr>
          <w:i/>
          <w:iCs/>
          <w:color w:val="595959"/>
          <w:sz w:val="20"/>
          <w:szCs w:val="20"/>
        </w:rPr>
        <w:t xml:space="preserve">Nota: Cada asignación queda guardada de forma permanente con el contexto completo de la decisión (skills del asignado, carga que tenía, prioridad y severidad del ticket). Este histórico es la base para un futuro asistente de inteligencia artificial que aprenda a sugerir asignaciones — hoy la decisión la toma siempre una persona.</w:t>
      </w:r>
    </w:p>
    <w:p>
      <w:pPr>
        <w:pStyle w:val="Heading1"/>
      </w:pPr>
      <w:r>
        <w:t xml:space="preserve">9. Tablero Kanban</w:t>
      </w:r>
    </w:p>
    <w:p>
      <w:pPr>
        <w:spacing w:after="160" w:line="300"/>
      </w:pPr>
      <w:r>
        <w:t xml:space="preserve">Vista visual del ciclo de vida: una columna por estado activo, con tarjetas que muestran el número de ticket, título, prioridad, tiempo estimado de resolución y quién lo tiene asignado.</w:t>
      </w:r>
    </w:p>
    <w:p>
      <w:pPr>
        <w:pStyle w:val="Heading2"/>
      </w:pPr>
      <w:r>
        <w:t xml:space="preserve">9.1 Mover un ticket arrastrando</w:t>
      </w:r>
    </w:p>
    <w:p>
      <w:pPr>
        <w:spacing w:after="160" w:line="300"/>
      </w:pPr>
      <w:r>
        <w:t xml:space="preserve">Se puede arrastrar una tarjeta a otra columna para avanzar el ticket, pero solo si ese movimiento es válido según la matriz del ciclo de vida (sección 7.1). Según el tipo de movimiento, el sistema:</w:t>
      </w:r>
    </w:p>
    <w:p>
      <w:pPr>
        <w:pStyle w:val="ListParagraph"/>
        <w:numPr>
          <w:ilvl w:val="0"/>
          <w:numId w:val="2"/>
        </w:numPr>
        <w:spacing w:after="80" w:line="280"/>
      </w:pPr>
      <w:r>
        <w:t xml:space="preserve">Abre la ventana de asignación, si se arrastra desde Nuevo hacia Contacto o Pre-Análisis.</w:t>
      </w:r>
    </w:p>
    <w:p>
      <w:pPr>
        <w:pStyle w:val="ListParagraph"/>
        <w:numPr>
          <w:ilvl w:val="0"/>
          <w:numId w:val="2"/>
        </w:numPr>
        <w:spacing w:after="80" w:line="280"/>
      </w:pPr>
      <w:r>
        <w:t xml:space="preserve">Pide el comentario correspondiente, si el movimiento requiere uno (por ejemplo, pasar de Contacto a En Análisis pide “Confirmación de atención”).</w:t>
      </w:r>
    </w:p>
    <w:p>
      <w:pPr>
        <w:pStyle w:val="ListParagraph"/>
        <w:numPr>
          <w:ilvl w:val="0"/>
          <w:numId w:val="2"/>
        </w:numPr>
        <w:spacing w:after="80" w:line="280"/>
      </w:pPr>
      <w:r>
        <w:t xml:space="preserve">Ejecuta el paso al instante, para En Ejecución ↔ En Pruebas.</w:t>
      </w:r>
    </w:p>
    <w:p>
      <w:pPr>
        <w:pStyle w:val="ListParagraph"/>
        <w:numPr>
          <w:ilvl w:val="0"/>
          <w:numId w:val="2"/>
        </w:numPr>
        <w:spacing w:after="80" w:line="280"/>
      </w:pPr>
      <w:r>
        <w:t xml:space="preserve">Rechaza el movimiento con un mensaje, si no es un paso válido — la tarjeta vuelve sola a su columna original.</w:t>
      </w:r>
    </w:p>
    <w:p>
      <w:pPr>
        <w:pStyle w:val="Heading2"/>
      </w:pPr>
      <w:r>
        <w:t xml:space="preserve">9.2 Filtros</w:t>
      </w:r>
    </w:p>
    <w:p>
      <w:pPr>
        <w:spacing w:after="160" w:line="300"/>
      </w:pPr>
      <w:r>
        <w:t xml:space="preserve">En la parte superior derecha del tablero se puede filtrar por estado, resolutor asignado, prioridad y nivel de escalamiento. El tablero tiene desplazamiento horizontal (para ver todas las columnas) y vertical independiente por columna.</w:t>
      </w:r>
    </w:p>
    <w:p>
      <w:pPr>
        <w:pStyle w:val="Heading1"/>
      </w:pPr>
      <w:r>
        <w:t xml:space="preserve">10. Panel de Asignación</w:t>
      </w:r>
    </w:p>
    <w:p>
      <w:pPr>
        <w:spacing w:after="160" w:line="300"/>
      </w:pPr>
      <w:r>
        <w:t xml:space="preserve">Herramienta del Coordinador (también visible para QM y Admin) que muestra de un vistazo cuántos tickets tiene cada resolutor por estado, en una matriz resolutor × estado, junto con la lista de tickets Nuevos pendientes de asignar.</w:t>
      </w:r>
    </w:p>
    <w:p>
      <w:pPr>
        <w:pStyle w:val="ListParagraph"/>
        <w:numPr>
          <w:ilvl w:val="0"/>
          <w:numId w:val="2"/>
        </w:numPr>
        <w:spacing w:after="80" w:line="280"/>
      </w:pPr>
      <w:r>
        <w:t xml:space="preserve">Cada celda con número es un enlace directo al listado filtrado por ese resolutor y estado.</w:t>
      </w:r>
    </w:p>
    <w:p>
      <w:pPr>
        <w:pStyle w:val="ListParagraph"/>
        <w:numPr>
          <w:ilvl w:val="0"/>
          <w:numId w:val="2"/>
        </w:numPr>
        <w:spacing w:after="80" w:line="280"/>
      </w:pPr>
      <w:r>
        <w:t xml:space="preserve">Los tickets Nuevos se pueden asignar sin salir del panel.</w:t>
      </w:r>
    </w:p>
    <w:p>
      <w:pPr>
        <w:pStyle w:val="ListParagraph"/>
        <w:numPr>
          <w:ilvl w:val="0"/>
          <w:numId w:val="2"/>
        </w:numPr>
        <w:spacing w:after="80" w:line="280"/>
      </w:pPr>
      <w:r>
        <w:t xml:space="preserve">Se puede filtrar la matriz por una selección de estados.</w:t>
      </w:r>
    </w:p>
    <w:p>
      <w:pPr>
        <w:pStyle w:val="Heading1"/>
      </w:pPr>
      <w:r>
        <w:t xml:space="preserve">11. Catálogos</w:t>
      </w:r>
    </w:p>
    <w:p>
      <w:pPr>
        <w:spacing w:after="160" w:line="300"/>
      </w:pPr>
      <w:r>
        <w:t xml:space="preserve">Los valores de Herramienta, Proceso y Tipo de resolución que se usan al clasificar y cerrar tickets son administrables (no texto libre), para mantener los datos consistentes y permitir reportes confiables.</w:t>
      </w:r>
    </w:p>
    <w:p>
      <w:pPr>
        <w:pStyle w:val="ListParagraph"/>
        <w:numPr>
          <w:ilvl w:val="0"/>
          <w:numId w:val="2"/>
        </w:numPr>
        <w:spacing w:after="80" w:line="280"/>
      </w:pPr>
      <w:r>
        <w:t xml:space="preserve">Admin y Coordinador pueden agregar nuevos valores y desactivar los que ya no se usan.</w:t>
      </w:r>
    </w:p>
    <w:p>
      <w:pPr>
        <w:pStyle w:val="ListParagraph"/>
        <w:numPr>
          <w:ilvl w:val="0"/>
          <w:numId w:val="2"/>
        </w:numPr>
        <w:spacing w:after="80" w:line="280"/>
      </w:pPr>
      <w:r>
        <w:t xml:space="preserve">Un valor en uso por tickets abiertos no puede desactivarse — el sistema avisa cuántos tickets lo están usando.</w:t>
      </w:r>
    </w:p>
    <w:p>
      <w:pPr>
        <w:pStyle w:val="Heading1"/>
      </w:pPr>
      <w:r>
        <w:t xml:space="preserve">12. Notificaciones</w:t>
      </w:r>
    </w:p>
    <w:p>
      <w:pPr>
        <w:spacing w:after="160" w:line="300"/>
      </w:pPr>
      <w:r>
        <w:t xml:space="preserve">El ícono de campana en la parte superior muestra las notificaciones internas del usuario, con un contador de no leídas. Se generan notificaciones automáticamente cuando:</w:t>
      </w:r>
    </w:p>
    <w:p>
      <w:pPr>
        <w:pStyle w:val="ListParagraph"/>
        <w:numPr>
          <w:ilvl w:val="0"/>
          <w:numId w:val="2"/>
        </w:numPr>
        <w:spacing w:after="80" w:line="280"/>
      </w:pPr>
      <w:r>
        <w:t xml:space="preserve">Te asignan un ticket.</w:t>
      </w:r>
    </w:p>
    <w:p>
      <w:pPr>
        <w:pStyle w:val="ListParagraph"/>
        <w:numPr>
          <w:ilvl w:val="0"/>
          <w:numId w:val="2"/>
        </w:numPr>
        <w:spacing w:after="80" w:line="280"/>
      </w:pPr>
      <w:r>
        <w:t xml:space="preserve">El usuario responde una solicitud de información sobre un ticket tuyo.</w:t>
      </w:r>
    </w:p>
    <w:p>
      <w:pPr>
        <w:pStyle w:val="ListParagraph"/>
        <w:numPr>
          <w:ilvl w:val="0"/>
          <w:numId w:val="2"/>
        </w:numPr>
        <w:spacing w:after="80" w:line="280"/>
      </w:pPr>
      <w:r>
        <w:t xml:space="preserve">El usuario rechaza una resolución.</w:t>
      </w:r>
    </w:p>
    <w:p>
      <w:pPr>
        <w:pStyle w:val="ListParagraph"/>
        <w:numPr>
          <w:ilvl w:val="0"/>
          <w:numId w:val="2"/>
        </w:numPr>
        <w:spacing w:after="80" w:line="280"/>
      </w:pPr>
      <w:r>
        <w:t xml:space="preserve">Un ticket que cerraste (o del que eres Coordinador/QM) se cierra.</w:t>
      </w:r>
    </w:p>
    <w:p>
      <w:pPr>
        <w:spacing w:after="160" w:line="300"/>
      </w:pPr>
      <w:r>
        <w:t xml:space="preserve">Las notificaciones se pueden marcar como leídas individualmente o todas a la vez.</w:t>
      </w:r>
    </w:p>
    <w:p>
      <w:pPr>
        <w:pStyle w:val="Heading1"/>
      </w:pPr>
      <w:r>
        <w:t xml:space="preserve">13. Matriz de Permisos por Rol</w:t>
      </w:r>
    </w:p>
    <w:p>
      <w:pPr>
        <w:spacing w:after="160" w:line="300"/>
      </w:pPr>
      <w:r>
        <w:t xml:space="preserve">Resumen de qué puede hacer cada rol en cada módulo. “Completo” significa ver, crear, editar y desactivar; “Solo ver” es acceso de lectura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750"/>
        <w:gridCol w:w="1750"/>
        <w:gridCol w:w="1750"/>
        <w:gridCol w:w="1750"/>
      </w:tblGrid>
      <w:tr>
        <w:trPr>
          <w:tblHeader/>
        </w:trPr>
        <w:tc>
          <w:tcPr>
            <w:tcW w:type="dxa" w:w="236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Módulo</w:t>
            </w:r>
          </w:p>
        </w:tc>
        <w:tc>
          <w:tcPr>
            <w:tcW w:type="dxa" w:w="175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Admin</w:t>
            </w:r>
          </w:p>
        </w:tc>
        <w:tc>
          <w:tcPr>
            <w:tcW w:type="dxa" w:w="175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Coordinador</w:t>
            </w:r>
          </w:p>
        </w:tc>
        <w:tc>
          <w:tcPr>
            <w:tcW w:type="dxa" w:w="175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QM</w:t>
            </w:r>
          </w:p>
        </w:tc>
        <w:tc>
          <w:tcPr>
            <w:tcW w:type="dxa" w:w="175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Resolutor</w:t>
            </w:r>
          </w:p>
        </w:tc>
      </w:tr>
      <w:tr>
        <w:tc>
          <w:tcPr>
            <w:tcW w:type="dxa" w:w="23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Clientes</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Solo ver</w:t>
            </w:r>
          </w:p>
        </w:tc>
      </w:tr>
      <w:tr>
        <w:tc>
          <w:tcPr>
            <w:tcW w:type="dxa" w:w="23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Proyectos</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Solo ver</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Solo ver</w:t>
            </w:r>
          </w:p>
        </w:tc>
      </w:tr>
      <w:tr>
        <w:tc>
          <w:tcPr>
            <w:tcW w:type="dxa" w:w="23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Recursos</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Solo su perfil</w:t>
            </w:r>
          </w:p>
        </w:tc>
      </w:tr>
      <w:tr>
        <w:tc>
          <w:tcPr>
            <w:tcW w:type="dxa" w:w="23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Skills</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Solo ver</w:t>
            </w:r>
          </w:p>
        </w:tc>
      </w:tr>
      <w:tr>
        <w:tc>
          <w:tcPr>
            <w:tcW w:type="dxa" w:w="23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Usuarios</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Solo ver</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Solo ver</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Solo ver</w:t>
            </w:r>
          </w:p>
        </w:tc>
      </w:tr>
      <w:tr>
        <w:tc>
          <w:tcPr>
            <w:tcW w:type="dxa" w:w="23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Roles y Permisos</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Sin acceso</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Sin acceso</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Sin acceso</w:t>
            </w:r>
          </w:p>
        </w:tc>
      </w:tr>
      <w:tr>
        <w:tc>
          <w:tcPr>
            <w:tcW w:type="dxa" w:w="23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Compensación</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Sin acceso</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Sin acceso</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Sin acceso</w:t>
            </w:r>
          </w:p>
        </w:tc>
      </w:tr>
      <w:tr>
        <w:tc>
          <w:tcPr>
            <w:tcW w:type="dxa" w:w="23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Tickets</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Todo excepto cancelar</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Solo tickets asignados</w:t>
            </w:r>
          </w:p>
        </w:tc>
      </w:tr>
      <w:tr>
        <w:tc>
          <w:tcPr>
            <w:tcW w:type="dxa" w:w="23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Panel de Asignación</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Ver</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Ver</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Ver</w:t>
            </w:r>
          </w:p>
        </w:tc>
        <w:tc>
          <w:tcPr>
            <w:tcW w:type="dxa" w:w="175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Sin acceso</w:t>
            </w:r>
          </w:p>
        </w:tc>
      </w:tr>
      <w:tr>
        <w:tc>
          <w:tcPr>
            <w:tcW w:type="dxa" w:w="23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Catálogos</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Completo</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Solo ver</w:t>
            </w:r>
          </w:p>
        </w:tc>
        <w:tc>
          <w:tcPr>
            <w:tcW w:type="dxa" w:w="175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Solo ver</w:t>
            </w:r>
          </w:p>
        </w:tc>
      </w:tr>
    </w:tbl>
    <w:p>
      <w:pPr>
        <w:pStyle w:val="Heading1"/>
      </w:pPr>
      <w:r>
        <w:t xml:space="preserve">14.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Término</w:t>
            </w:r>
          </w:p>
        </w:tc>
        <w:tc>
          <w:tcPr>
            <w:tcW w:type="dxa" w:w="6160"/>
            <w:tcBorders>
              <w:top w:val="single" w:color="D9D9D9" w:sz="2"/>
              <w:left w:val="single" w:color="D9D9D9" w:sz="2"/>
              <w:bottom w:val="single" w:color="D9D9D9" w:sz="2"/>
              <w:right w:val="single" w:color="D9D9D9" w:sz="2"/>
            </w:tcBorders>
            <w:shd w:fill="353336" w:val="clear"/>
            <w:tcMar>
              <w:top w:type="dxa" w:w="80"/>
              <w:left w:type="dxa" w:w="120"/>
              <w:bottom w:type="dxa" w:w="80"/>
              <w:right w:type="dxa" w:w="120"/>
            </w:tcMar>
            <w:vAlign w:val="center"/>
          </w:tcPr>
          <w:p>
            <w:r>
              <w:rPr>
                <w:b/>
                <w:bCs/>
                <w:color w:val="FFFFFF"/>
                <w:sz w:val="19"/>
                <w:szCs w:val="19"/>
              </w:rPr>
              <w:t xml:space="preserve">Significado</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Triage Push</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El proceso de asignación inicial de un ticket que hace el Coordinador</w:t>
            </w:r>
          </w:p>
        </w:tc>
      </w:tr>
      <w:tr>
        <w:tc>
          <w:tcPr>
            <w:tcW w:type="dxa" w:w="3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QM</w:t>
            </w:r>
          </w:p>
        </w:tc>
        <w:tc>
          <w:tcPr>
            <w:tcW w:type="dxa" w:w="61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Quality Manager — resolutor senior que apoya el análisis técnico</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FSM</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Máquina de estados finita — el motor que valida los cambios de estado del ticket</w:t>
            </w:r>
          </w:p>
        </w:tc>
      </w:tr>
      <w:tr>
        <w:tc>
          <w:tcPr>
            <w:tcW w:type="dxa" w:w="3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SLA</w:t>
            </w:r>
          </w:p>
        </w:tc>
        <w:tc>
          <w:tcPr>
            <w:tcW w:type="dxa" w:w="61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Acuerdo de nivel de servicio (tiempos de atención) — llega en una fase futura</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Gold Standard Dataset</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El histórico de asignaciones que en el futuro entrenará un asistente de IA</w:t>
            </w:r>
          </w:p>
        </w:tc>
      </w:tr>
      <w:tr>
        <w:tc>
          <w:tcPr>
            <w:tcW w:type="dxa" w:w="320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Kanban</w:t>
            </w:r>
          </w:p>
        </w:tc>
        <w:tc>
          <w:tcPr>
            <w:tcW w:type="dxa" w:w="6160"/>
            <w:tcBorders>
              <w:top w:val="single" w:color="D9D9D9" w:sz="2"/>
              <w:left w:val="single" w:color="D9D9D9" w:sz="2"/>
              <w:bottom w:val="single" w:color="D9D9D9" w:sz="2"/>
              <w:right w:val="single" w:color="D9D9D9" w:sz="2"/>
            </w:tcBorders>
            <w:shd w:fill="F1F5F9" w:val="clear"/>
            <w:tcMar>
              <w:top w:type="dxa" w:w="70"/>
              <w:left w:type="dxa" w:w="120"/>
              <w:bottom w:type="dxa" w:w="70"/>
              <w:right w:type="dxa" w:w="120"/>
            </w:tcMar>
            <w:vAlign w:val="center"/>
          </w:tcPr>
          <w:p>
            <w:r>
              <w:rPr>
                <w:sz w:val="19"/>
                <w:szCs w:val="19"/>
              </w:rPr>
              <w:t xml:space="preserve">Tablero visual con columnas por estado, con tarjetas movibles</w:t>
            </w:r>
          </w:p>
        </w:tc>
      </w:tr>
      <w:tr>
        <w:tc>
          <w:tcPr>
            <w:tcW w:type="dxa" w:w="320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Recurso</w:t>
            </w:r>
          </w:p>
        </w:tc>
        <w:tc>
          <w:tcPr>
            <w:tcW w:type="dxa" w:w="6160"/>
            <w:tcBorders>
              <w:top w:val="single" w:color="D9D9D9" w:sz="2"/>
              <w:left w:val="single" w:color="D9D9D9" w:sz="2"/>
              <w:bottom w:val="single" w:color="D9D9D9" w:sz="2"/>
              <w:right w:val="single" w:color="D9D9D9" w:sz="2"/>
            </w:tcBorders>
            <w:shd w:fill="FFFFFF" w:val="clear"/>
            <w:tcMar>
              <w:top w:type="dxa" w:w="70"/>
              <w:left w:type="dxa" w:w="120"/>
              <w:bottom w:type="dxa" w:w="70"/>
              <w:right w:type="dxa" w:w="120"/>
            </w:tcMar>
            <w:vAlign w:val="center"/>
          </w:tcPr>
          <w:p>
            <w:r>
              <w:rPr>
                <w:sz w:val="19"/>
                <w:szCs w:val="19"/>
              </w:rPr>
              <w:t xml:space="preserve">Persona del equipo de SyWork (consultor, coordinador, QM, etc.)</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Página </w:t>
    </w:r>
    <w:r>
      <w:rPr>
        <w:color w:val="8C8C8C"/>
        <w:sz w:val="16"/>
        <w:szCs w:val="16"/>
      </w:rPr>
      <w:fldChar w:fldCharType="begin"/>
      <w:instrText xml:space="preserve">PAGE</w:instrText>
      <w:fldChar w:fldCharType="separate"/>
      <w:fldChar w:fldCharType="end"/>
    </w:r>
    <w:r>
      <w:rPr>
        <w:color w:val="8C8C8C"/>
        <w:sz w:val="16"/>
        <w:szCs w:val="16"/>
      </w:rPr>
      <w:t xml:space="preserve"> de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8C8C8C"/>
        <w:sz w:val="16"/>
        <w:szCs w:val="16"/>
      </w:rPr>
      <w:t xml:space="preserve">SyWork Desk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60"/>
      </w:pPr>
    </w:lvl>
  </w:abstractNum>
  <w:abstractNum w:abstractNumId="3" w15:restartNumberingAfterBreak="0">
    <w:multiLevelType w:val="hybridMultilevel"/>
    <w:lvl w:ilvl="0" w15:tentative="1">
      <w:start w:val="1"/>
      <w:numFmt w:val="decimal"/>
      <w:lvlText w:val="%1."/>
      <w:lvlJc w:val="left"/>
      <w:pPr>
        <w:ind w:left="5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B3037" w:sz="8" w:space="4"/>
      </w:pBdr>
      <w:spacing w:after="220" w:before="400"/>
      <w:outlineLvl w:val="0"/>
    </w:pPr>
    <w:rPr>
      <w:rFonts w:ascii="Calibri" w:cs="Calibri" w:eastAsia="Calibri" w:hAnsi="Calibri"/>
      <w:b/>
      <w:bCs/>
      <w:color w:val="353336"/>
      <w:sz w:val="32"/>
      <w:szCs w:val="32"/>
    </w:rPr>
  </w:style>
  <w:style w:type="paragraph" w:styleId="Heading2">
    <w:name w:val="Heading 2"/>
    <w:basedOn w:val="Normal"/>
    <w:next w:val="Normal"/>
    <w:qFormat/>
    <w:pPr>
      <w:spacing w:after="160" w:before="280"/>
      <w:outlineLvl w:val="1"/>
    </w:pPr>
    <w:rPr>
      <w:rFonts w:ascii="Calibri" w:cs="Calibri" w:eastAsia="Calibri" w:hAnsi="Calibri"/>
      <w:b/>
      <w:bCs/>
      <w:color w:val="B01B21"/>
      <w:sz w:val="26"/>
      <w:szCs w:val="26"/>
    </w:rPr>
  </w:style>
  <w:style w:type="paragraph" w:styleId="Heading3">
    <w:name w:val="Heading 3"/>
    <w:basedOn w:val="Normal"/>
    <w:next w:val="Normal"/>
    <w:qFormat/>
    <w:pPr>
      <w:spacing w:after="120" w:before="200"/>
      <w:outlineLvl w:val="2"/>
    </w:pPr>
    <w:rPr>
      <w:rFonts w:ascii="Calibri" w:cs="Calibri" w:eastAsia="Calibri" w:hAnsi="Calibri"/>
      <w:b/>
      <w:bCs/>
      <w:color w:val="35333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4d791dd7a635b68c2ef076cedbfc7639f854f58.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2026-07-03T21:28:12.133Z</dcterms:created>
  <dcterms:modified xsi:type="dcterms:W3CDTF">2026-07-03T21:28:12.134Z</dcterms:modified>
</cp:coreProperties>
</file>

<file path=docProps/custom.xml><?xml version="1.0" encoding="utf-8"?>
<Properties xmlns="http://schemas.openxmlformats.org/officeDocument/2006/custom-properties" xmlns:vt="http://schemas.openxmlformats.org/officeDocument/2006/docPropsVTypes"/>
</file>