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92560" w14:textId="010A9E61" w:rsidR="00772855" w:rsidRPr="00772855" w:rsidRDefault="538706C9" w:rsidP="02C83F36">
      <w:pPr>
        <w:pStyle w:val="Heading1"/>
      </w:pPr>
      <w:commentRangeStart w:id="0"/>
      <w:proofErr w:type="spellStart"/>
      <w:r>
        <w:t>P</w:t>
      </w:r>
      <w:r w:rsidR="02C83F36">
        <w:t>OV</w:t>
      </w:r>
      <w:proofErr w:type="spellEnd"/>
      <w:r w:rsidR="02C83F36">
        <w:t xml:space="preserve"> Guide</w:t>
      </w:r>
    </w:p>
    <w:tbl>
      <w:tblPr>
        <w:tblStyle w:val="TableGrid"/>
        <w:tblW w:w="1025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62"/>
        <w:gridCol w:w="9090"/>
      </w:tblGrid>
      <w:tr w:rsidR="02C83F36" w14:paraId="40FA4A21" w14:textId="77777777" w:rsidTr="7A053939">
        <w:trPr>
          <w:trHeight w:val="300"/>
        </w:trPr>
        <w:tc>
          <w:tcPr>
            <w:tcW w:w="1162" w:type="dxa"/>
            <w:shd w:val="clear" w:color="auto" w:fill="D9D9D9" w:themeFill="background1" w:themeFillShade="D9"/>
            <w:tcMar>
              <w:left w:w="60" w:type="dxa"/>
              <w:right w:w="60" w:type="dxa"/>
            </w:tcMar>
            <w:vAlign w:val="center"/>
          </w:tcPr>
          <w:p w14:paraId="70AA149C" w14:textId="6D187383" w:rsidR="02C83F36" w:rsidRDefault="02C83F36" w:rsidP="02C83F36">
            <w:pPr>
              <w:jc w:val="center"/>
            </w:pPr>
            <w:r w:rsidRPr="02C83F36">
              <w:rPr>
                <w:color w:val="000000" w:themeColor="text1"/>
                <w:sz w:val="18"/>
                <w:szCs w:val="18"/>
              </w:rPr>
              <w:t>Section Guidance</w:t>
            </w:r>
          </w:p>
        </w:tc>
        <w:tc>
          <w:tcPr>
            <w:tcW w:w="9090" w:type="dxa"/>
            <w:shd w:val="clear" w:color="auto" w:fill="D9D9D9" w:themeFill="background1" w:themeFillShade="D9"/>
            <w:tcMar>
              <w:left w:w="60" w:type="dxa"/>
              <w:right w:w="60" w:type="dxa"/>
            </w:tcMar>
          </w:tcPr>
          <w:p w14:paraId="1FD873D4" w14:textId="77777777" w:rsidR="00E32867" w:rsidRPr="00E32867" w:rsidRDefault="00E32867" w:rsidP="00E32867">
            <w:pPr>
              <w:rPr>
                <w:rFonts w:ascii="Verdana" w:eastAsia="Verdana" w:hAnsi="Verdana" w:cs="Verdana"/>
                <w:color w:val="000000" w:themeColor="text1"/>
                <w:sz w:val="16"/>
                <w:szCs w:val="16"/>
              </w:rPr>
            </w:pPr>
            <w:r w:rsidRPr="00E32867">
              <w:rPr>
                <w:rFonts w:ascii="Verdana" w:eastAsia="Verdana" w:hAnsi="Verdana" w:cs="Verdana"/>
                <w:color w:val="000000" w:themeColor="text1"/>
                <w:sz w:val="16"/>
                <w:szCs w:val="16"/>
              </w:rPr>
              <w:t>Architects should build a vision about what success on an account should look like and what a press release could potentially outcome to. This vision will serve as the mission throughout the pursuit.</w:t>
            </w:r>
          </w:p>
          <w:p w14:paraId="4DE05273" w14:textId="77777777" w:rsidR="00E32867" w:rsidRPr="00E32867" w:rsidRDefault="00E32867" w:rsidP="00E32867">
            <w:pPr>
              <w:rPr>
                <w:rFonts w:ascii="Verdana" w:eastAsia="Verdana" w:hAnsi="Verdana" w:cs="Verdana"/>
                <w:color w:val="000000" w:themeColor="text1"/>
                <w:sz w:val="16"/>
                <w:szCs w:val="16"/>
              </w:rPr>
            </w:pPr>
          </w:p>
          <w:p w14:paraId="49693B84" w14:textId="1C2A1851" w:rsidR="00E32867" w:rsidRPr="00E32867" w:rsidRDefault="63ED9DC4" w:rsidP="00E32867">
            <w:pPr>
              <w:rPr>
                <w:rFonts w:ascii="Verdana" w:eastAsia="Verdana" w:hAnsi="Verdana" w:cs="Verdana"/>
                <w:color w:val="000000" w:themeColor="text1"/>
                <w:sz w:val="16"/>
                <w:szCs w:val="16"/>
              </w:rPr>
            </w:pPr>
            <w:r w:rsidRPr="7A053939">
              <w:rPr>
                <w:rFonts w:ascii="Verdana" w:eastAsia="Verdana" w:hAnsi="Verdana" w:cs="Verdana"/>
                <w:color w:val="000000" w:themeColor="text1"/>
                <w:sz w:val="16"/>
                <w:szCs w:val="16"/>
              </w:rPr>
              <w:t xml:space="preserve">Architects should have an idea of what high level value impact Oracle could produce for a customer along with how it affects their line of business to generate a press release. Examples of press releases can be found </w:t>
            </w:r>
            <w:commentRangeStart w:id="1"/>
            <w:r w:rsidRPr="7A053939">
              <w:rPr>
                <w:rFonts w:ascii="Verdana" w:eastAsia="Verdana" w:hAnsi="Verdana" w:cs="Verdana"/>
                <w:color w:val="000000" w:themeColor="text1"/>
                <w:sz w:val="16"/>
                <w:szCs w:val="16"/>
              </w:rPr>
              <w:t>by</w:t>
            </w:r>
            <w:commentRangeEnd w:id="1"/>
            <w:r w:rsidR="00E32867">
              <w:rPr>
                <w:rStyle w:val="CommentReference"/>
              </w:rPr>
              <w:commentReference w:id="1"/>
            </w:r>
            <w:r w:rsidRPr="7A053939">
              <w:rPr>
                <w:rFonts w:ascii="Verdana" w:eastAsia="Verdana" w:hAnsi="Verdana" w:cs="Verdana"/>
                <w:color w:val="000000" w:themeColor="text1"/>
                <w:sz w:val="16"/>
                <w:szCs w:val="16"/>
              </w:rPr>
              <w:t xml:space="preserve"> looking at Oracle’s existing customer success stories or via references examples that are provided. </w:t>
            </w:r>
            <w:r w:rsidR="2E7A603B" w:rsidRPr="7A053939">
              <w:rPr>
                <w:rFonts w:ascii="Verdana" w:eastAsia="Verdana" w:hAnsi="Verdana" w:cs="Verdana"/>
                <w:color w:val="000000" w:themeColor="text1"/>
                <w:sz w:val="16"/>
                <w:szCs w:val="16"/>
              </w:rPr>
              <w:t>Additionally,</w:t>
            </w:r>
            <w:r w:rsidRPr="7A053939">
              <w:rPr>
                <w:rFonts w:ascii="Verdana" w:eastAsia="Verdana" w:hAnsi="Verdana" w:cs="Verdana"/>
                <w:color w:val="000000" w:themeColor="text1"/>
                <w:sz w:val="16"/>
                <w:szCs w:val="16"/>
              </w:rPr>
              <w:t xml:space="preserve"> the use of Oracle’s Generative AI can assist in producing a framework for a press release.</w:t>
            </w:r>
          </w:p>
          <w:p w14:paraId="1647E14C" w14:textId="77777777" w:rsidR="00E32867" w:rsidRPr="00E32867" w:rsidRDefault="00E32867" w:rsidP="00E32867">
            <w:pPr>
              <w:rPr>
                <w:rFonts w:ascii="Verdana" w:eastAsia="Verdana" w:hAnsi="Verdana" w:cs="Verdana"/>
                <w:color w:val="000000" w:themeColor="text1"/>
                <w:sz w:val="16"/>
                <w:szCs w:val="16"/>
              </w:rPr>
            </w:pPr>
          </w:p>
          <w:p w14:paraId="7328012C" w14:textId="45903C61" w:rsidR="02C83F36" w:rsidRPr="00E32867" w:rsidRDefault="02C83F36" w:rsidP="02C83F36">
            <w:pPr>
              <w:pStyle w:val="ListParagraph"/>
              <w:numPr>
                <w:ilvl w:val="0"/>
                <w:numId w:val="1"/>
              </w:numPr>
              <w:rPr>
                <w:rFonts w:ascii="Verdana" w:eastAsia="Verdana" w:hAnsi="Verdana" w:cs="Verdana"/>
                <w:color w:val="000000" w:themeColor="text1"/>
                <w:sz w:val="16"/>
                <w:szCs w:val="16"/>
              </w:rPr>
            </w:pPr>
            <w:r w:rsidRPr="00E32867">
              <w:rPr>
                <w:rFonts w:ascii="Verdana" w:eastAsia="Verdana" w:hAnsi="Verdana" w:cs="Verdana"/>
                <w:color w:val="000000" w:themeColor="text1"/>
                <w:sz w:val="16"/>
                <w:szCs w:val="16"/>
              </w:rPr>
              <w:t>This guide is intended to lead you through questions to ask while developing a Point of View</w:t>
            </w:r>
            <w:r w:rsidR="00AC61FE" w:rsidRPr="00E32867">
              <w:rPr>
                <w:rFonts w:ascii="Verdana" w:eastAsia="Verdana" w:hAnsi="Verdana" w:cs="Verdana"/>
                <w:color w:val="000000" w:themeColor="text1"/>
                <w:sz w:val="16"/>
                <w:szCs w:val="16"/>
              </w:rPr>
              <w:t xml:space="preserve"> (</w:t>
            </w:r>
            <w:proofErr w:type="spellStart"/>
            <w:r w:rsidR="00AC61FE" w:rsidRPr="00E32867">
              <w:rPr>
                <w:rFonts w:ascii="Verdana" w:eastAsia="Verdana" w:hAnsi="Verdana" w:cs="Verdana"/>
                <w:color w:val="000000" w:themeColor="text1"/>
                <w:sz w:val="16"/>
                <w:szCs w:val="16"/>
              </w:rPr>
              <w:t>POV</w:t>
            </w:r>
            <w:proofErr w:type="spellEnd"/>
            <w:r w:rsidR="00AC61FE" w:rsidRPr="00E32867">
              <w:rPr>
                <w:rFonts w:ascii="Verdana" w:eastAsia="Verdana" w:hAnsi="Verdana" w:cs="Verdana"/>
                <w:color w:val="000000" w:themeColor="text1"/>
                <w:sz w:val="16"/>
                <w:szCs w:val="16"/>
              </w:rPr>
              <w:t>)</w:t>
            </w:r>
          </w:p>
          <w:p w14:paraId="6ECB3B9F" w14:textId="51ABEF0D" w:rsidR="02C83F36" w:rsidRPr="00E32867" w:rsidRDefault="02C83F36" w:rsidP="02C83F36">
            <w:pPr>
              <w:pStyle w:val="ListParagraph"/>
              <w:numPr>
                <w:ilvl w:val="0"/>
                <w:numId w:val="1"/>
              </w:numPr>
              <w:rPr>
                <w:rFonts w:ascii="Verdana" w:eastAsia="Verdana" w:hAnsi="Verdana" w:cs="Verdana"/>
                <w:color w:val="000000" w:themeColor="text1"/>
                <w:sz w:val="16"/>
                <w:szCs w:val="16"/>
              </w:rPr>
            </w:pPr>
            <w:r w:rsidRPr="00E32867">
              <w:rPr>
                <w:rFonts w:ascii="Verdana" w:eastAsia="Verdana" w:hAnsi="Verdana" w:cs="Verdana"/>
                <w:color w:val="000000" w:themeColor="text1"/>
                <w:sz w:val="16"/>
                <w:szCs w:val="16"/>
              </w:rPr>
              <w:t xml:space="preserve">It will help cast a vision for the customer engagement and prompt you to think creatively and strategically to envision the outcome for the customer on </w:t>
            </w:r>
            <w:r w:rsidR="008F30A7" w:rsidRPr="00E32867">
              <w:rPr>
                <w:rFonts w:ascii="Verdana" w:eastAsia="Verdana" w:hAnsi="Verdana" w:cs="Verdana"/>
                <w:color w:val="000000" w:themeColor="text1"/>
                <w:sz w:val="16"/>
                <w:szCs w:val="16"/>
              </w:rPr>
              <w:t>OCI.</w:t>
            </w:r>
          </w:p>
          <w:p w14:paraId="51263053" w14:textId="5503009A" w:rsidR="02C83F36" w:rsidRPr="00E32867" w:rsidRDefault="02C83F36" w:rsidP="02C83F36">
            <w:pPr>
              <w:pStyle w:val="ListParagraph"/>
              <w:numPr>
                <w:ilvl w:val="0"/>
                <w:numId w:val="1"/>
              </w:numPr>
              <w:rPr>
                <w:rFonts w:ascii="Verdana" w:eastAsia="Verdana" w:hAnsi="Verdana" w:cs="Verdana"/>
                <w:color w:val="000000" w:themeColor="text1"/>
                <w:sz w:val="16"/>
                <w:szCs w:val="16"/>
              </w:rPr>
            </w:pPr>
            <w:r w:rsidRPr="66BF4239">
              <w:rPr>
                <w:rFonts w:ascii="Verdana" w:eastAsia="Verdana" w:hAnsi="Verdana" w:cs="Verdana"/>
                <w:color w:val="000000" w:themeColor="text1"/>
                <w:sz w:val="16"/>
                <w:szCs w:val="16"/>
              </w:rPr>
              <w:t xml:space="preserve">Once the initial </w:t>
            </w:r>
            <w:proofErr w:type="spellStart"/>
            <w:r w:rsidRPr="66BF4239">
              <w:rPr>
                <w:rFonts w:ascii="Verdana" w:eastAsia="Verdana" w:hAnsi="Verdana" w:cs="Verdana"/>
                <w:color w:val="000000" w:themeColor="text1"/>
                <w:sz w:val="16"/>
                <w:szCs w:val="16"/>
              </w:rPr>
              <w:t>POV</w:t>
            </w:r>
            <w:proofErr w:type="spellEnd"/>
            <w:r w:rsidRPr="66BF4239">
              <w:rPr>
                <w:rFonts w:ascii="Verdana" w:eastAsia="Verdana" w:hAnsi="Verdana" w:cs="Verdana"/>
                <w:color w:val="000000" w:themeColor="text1"/>
                <w:sz w:val="16"/>
                <w:szCs w:val="16"/>
              </w:rPr>
              <w:t>/solution hypothesis has been created, it will serve as the vision and mission for the larger pursuit engagement</w:t>
            </w:r>
          </w:p>
        </w:tc>
      </w:tr>
    </w:tbl>
    <w:p w14:paraId="1048CCA6" w14:textId="77777777" w:rsidR="00AC61FE" w:rsidRPr="00772855" w:rsidRDefault="00AC61FE" w:rsidP="00AC61FE">
      <w:pPr>
        <w:spacing w:before="100" w:beforeAutospacing="1" w:after="100" w:afterAutospacing="1"/>
        <w:outlineLvl w:val="1"/>
        <w:rPr>
          <w:rFonts w:ascii="Times New Roman" w:eastAsia="Times New Roman" w:hAnsi="Times New Roman" w:cs="Times New Roman"/>
          <w:b/>
          <w:bCs/>
          <w:sz w:val="36"/>
          <w:szCs w:val="36"/>
        </w:rPr>
      </w:pPr>
      <w:r>
        <w:rPr>
          <w:rStyle w:val="Heading2Char"/>
        </w:rPr>
        <w:t xml:space="preserve">Internal - </w:t>
      </w:r>
      <w:r w:rsidRPr="02C83F36">
        <w:rPr>
          <w:rStyle w:val="Heading2Char"/>
        </w:rPr>
        <w:t>Visionary Press Release</w:t>
      </w:r>
    </w:p>
    <w:p w14:paraId="53DFAC7C" w14:textId="77777777" w:rsidR="00AC61FE" w:rsidRPr="00772855" w:rsidRDefault="00AC61FE" w:rsidP="00AC61FE">
      <w:pPr>
        <w:pStyle w:val="Heading3"/>
        <w:rPr>
          <w:rFonts w:ascii="Times New Roman" w:eastAsia="Times New Roman" w:hAnsi="Times New Roman" w:cs="Times New Roman"/>
          <w:b/>
          <w:bCs/>
          <w:sz w:val="27"/>
          <w:szCs w:val="27"/>
        </w:rPr>
      </w:pPr>
      <w:r>
        <w:t xml:space="preserve">Summary </w:t>
      </w:r>
    </w:p>
    <w:p w14:paraId="77D54007" w14:textId="730A1C99" w:rsidR="004F0BB2" w:rsidRDefault="00AD72F2" w:rsidP="004F0BB2">
      <w:pPr>
        <w:rPr>
          <w:rFonts w:ascii="Calibri" w:eastAsia="Times New Roman" w:hAnsi="Calibri" w:cs="Calibri"/>
          <w:sz w:val="22"/>
          <w:szCs w:val="22"/>
        </w:rPr>
      </w:pPr>
      <w:r>
        <w:rPr>
          <w:rFonts w:ascii="Calibri" w:eastAsia="Times New Roman" w:hAnsi="Calibri" w:cs="Calibri"/>
          <w:sz w:val="22"/>
          <w:szCs w:val="22"/>
        </w:rPr>
        <w:t>Example</w:t>
      </w:r>
      <w:r w:rsidR="5C05BF00" w:rsidRPr="178FC526">
        <w:rPr>
          <w:rFonts w:ascii="Calibri" w:eastAsia="Times New Roman" w:hAnsi="Calibri" w:cs="Calibri"/>
          <w:sz w:val="22"/>
          <w:szCs w:val="22"/>
        </w:rPr>
        <w:t xml:space="preserve"> </w:t>
      </w:r>
      <w:r w:rsidR="004F0BB2" w:rsidRPr="178FC526">
        <w:rPr>
          <w:rFonts w:ascii="Calibri" w:eastAsia="Times New Roman" w:hAnsi="Calibri" w:cs="Calibri"/>
          <w:sz w:val="22"/>
          <w:szCs w:val="22"/>
        </w:rPr>
        <w:t xml:space="preserve">was founded with a simple but powerful mission: to democratize finance for all. Millions of customers rely on </w:t>
      </w:r>
      <w:r>
        <w:rPr>
          <w:rFonts w:ascii="Calibri" w:eastAsia="Times New Roman" w:hAnsi="Calibri" w:cs="Calibri"/>
          <w:sz w:val="22"/>
          <w:szCs w:val="22"/>
        </w:rPr>
        <w:t>Example</w:t>
      </w:r>
      <w:r w:rsidR="004F0BB2" w:rsidRPr="178FC526">
        <w:rPr>
          <w:rFonts w:ascii="Calibri" w:eastAsia="Times New Roman" w:hAnsi="Calibri" w:cs="Calibri"/>
          <w:sz w:val="22"/>
          <w:szCs w:val="22"/>
        </w:rPr>
        <w:t xml:space="preserve"> every day to invest, trade, and build their financial futures. As our platform grows in scale and complexity, so does our responsibility to deliver a secure, reliable, and innovative trading experience.</w:t>
      </w:r>
    </w:p>
    <w:p w14:paraId="4EE722A6" w14:textId="46DBD873" w:rsidR="007B1BB5" w:rsidRPr="007B1BB5" w:rsidRDefault="00AD72F2" w:rsidP="007B1BB5">
      <w:pPr>
        <w:rPr>
          <w:rFonts w:ascii="Calibri" w:eastAsia="Times New Roman" w:hAnsi="Calibri" w:cs="Calibri"/>
          <w:sz w:val="22"/>
          <w:szCs w:val="22"/>
        </w:rPr>
      </w:pPr>
      <w:r>
        <w:rPr>
          <w:rFonts w:ascii="Calibri" w:eastAsia="Times New Roman" w:hAnsi="Calibri" w:cs="Calibri"/>
          <w:sz w:val="22"/>
          <w:szCs w:val="22"/>
        </w:rPr>
        <w:t>Example</w:t>
      </w:r>
      <w:r w:rsidR="007B1BB5" w:rsidRPr="007B1BB5">
        <w:rPr>
          <w:rFonts w:ascii="Calibri" w:eastAsia="Times New Roman" w:hAnsi="Calibri" w:cs="Calibri"/>
          <w:sz w:val="22"/>
          <w:szCs w:val="22"/>
        </w:rPr>
        <w:t xml:space="preserve"> Markets, Inc., and Oracle Cloud Infrastructure (OCI) today announced a strategic partnership designed to help </w:t>
      </w:r>
      <w:r>
        <w:rPr>
          <w:rFonts w:ascii="Calibri" w:eastAsia="Times New Roman" w:hAnsi="Calibri" w:cs="Calibri"/>
          <w:sz w:val="22"/>
          <w:szCs w:val="22"/>
        </w:rPr>
        <w:t>Example</w:t>
      </w:r>
      <w:r w:rsidR="007B1BB5" w:rsidRPr="007B1BB5">
        <w:rPr>
          <w:rFonts w:ascii="Calibri" w:eastAsia="Times New Roman" w:hAnsi="Calibri" w:cs="Calibri"/>
          <w:sz w:val="22"/>
          <w:szCs w:val="22"/>
        </w:rPr>
        <w:t xml:space="preserve"> address the growing complexity of global regulation while enhancing platform resilience and customer trust. Leveraging </w:t>
      </w:r>
      <w:proofErr w:type="spellStart"/>
      <w:r w:rsidR="007B1BB5" w:rsidRPr="007B1BB5">
        <w:rPr>
          <w:rFonts w:ascii="Calibri" w:eastAsia="Times New Roman" w:hAnsi="Calibri" w:cs="Calibri"/>
          <w:sz w:val="22"/>
          <w:szCs w:val="22"/>
        </w:rPr>
        <w:t>OCI’s</w:t>
      </w:r>
      <w:proofErr w:type="spellEnd"/>
      <w:r w:rsidR="007B1BB5" w:rsidRPr="007B1BB5">
        <w:rPr>
          <w:rFonts w:ascii="Calibri" w:eastAsia="Times New Roman" w:hAnsi="Calibri" w:cs="Calibri"/>
          <w:sz w:val="22"/>
          <w:szCs w:val="22"/>
        </w:rPr>
        <w:t xml:space="preserve"> secure, high-performance cloud infrastructure, </w:t>
      </w:r>
      <w:r>
        <w:rPr>
          <w:rFonts w:ascii="Calibri" w:eastAsia="Times New Roman" w:hAnsi="Calibri" w:cs="Calibri"/>
          <w:sz w:val="22"/>
          <w:szCs w:val="22"/>
        </w:rPr>
        <w:t>Example</w:t>
      </w:r>
      <w:r w:rsidR="007B1BB5" w:rsidRPr="007B1BB5">
        <w:rPr>
          <w:rFonts w:ascii="Calibri" w:eastAsia="Times New Roman" w:hAnsi="Calibri" w:cs="Calibri"/>
          <w:sz w:val="22"/>
          <w:szCs w:val="22"/>
        </w:rPr>
        <w:t xml:space="preserve"> will modernize its compliance systems, risk management processes, and reporting capabilities to better meet evolving requirements from the SEC, FINRA, and global regulators.</w:t>
      </w:r>
    </w:p>
    <w:p w14:paraId="39CB7F80" w14:textId="77777777" w:rsidR="007B1BB5" w:rsidRPr="004F0BB2" w:rsidRDefault="007B1BB5" w:rsidP="004F0BB2">
      <w:pPr>
        <w:rPr>
          <w:rFonts w:ascii="Calibri" w:eastAsia="Times New Roman" w:hAnsi="Calibri" w:cs="Calibri"/>
          <w:sz w:val="22"/>
          <w:szCs w:val="22"/>
        </w:rPr>
      </w:pPr>
    </w:p>
    <w:p w14:paraId="67A7EB7E" w14:textId="3BF28360" w:rsidR="004F0BB2" w:rsidRPr="004F0BB2" w:rsidRDefault="004F0BB2" w:rsidP="004F0BB2">
      <w:pPr>
        <w:rPr>
          <w:rFonts w:ascii="Calibri" w:eastAsia="Times New Roman" w:hAnsi="Calibri" w:cs="Calibri"/>
          <w:sz w:val="22"/>
          <w:szCs w:val="22"/>
        </w:rPr>
      </w:pPr>
      <w:r w:rsidRPr="004F0BB2">
        <w:rPr>
          <w:rFonts w:ascii="Calibri" w:eastAsia="Times New Roman" w:hAnsi="Calibri" w:cs="Calibri"/>
          <w:b/>
          <w:bCs/>
          <w:sz w:val="22"/>
          <w:szCs w:val="22"/>
        </w:rPr>
        <w:t xml:space="preserve">Finance for all, </w:t>
      </w:r>
      <w:commentRangeStart w:id="2"/>
      <w:r w:rsidRPr="004F0BB2">
        <w:rPr>
          <w:rFonts w:ascii="Calibri" w:eastAsia="Times New Roman" w:hAnsi="Calibri" w:cs="Calibri"/>
          <w:b/>
          <w:bCs/>
          <w:sz w:val="22"/>
          <w:szCs w:val="22"/>
        </w:rPr>
        <w:t>powered by AI</w:t>
      </w:r>
      <w:commentRangeEnd w:id="2"/>
      <w:r>
        <w:rPr>
          <w:rStyle w:val="CommentReference"/>
        </w:rPr>
        <w:commentReference w:id="2"/>
      </w:r>
      <w:r w:rsidR="009D2FD5">
        <w:rPr>
          <w:rFonts w:ascii="Calibri" w:eastAsia="Times New Roman" w:hAnsi="Calibri" w:cs="Calibri"/>
          <w:b/>
          <w:bCs/>
          <w:sz w:val="22"/>
          <w:szCs w:val="22"/>
        </w:rPr>
        <w:t xml:space="preserve"> </w:t>
      </w:r>
      <w:r w:rsidRPr="004F0BB2">
        <w:rPr>
          <w:rFonts w:ascii="Calibri" w:eastAsia="Times New Roman" w:hAnsi="Calibri" w:cs="Calibri"/>
          <w:b/>
          <w:bCs/>
          <w:sz w:val="22"/>
          <w:szCs w:val="22"/>
        </w:rPr>
        <w:t>and cloud built for the future.</w:t>
      </w:r>
    </w:p>
    <w:p w14:paraId="44352ADC" w14:textId="77777777" w:rsidR="000F425C" w:rsidRDefault="000F425C" w:rsidP="563BE429">
      <w:pPr>
        <w:rPr>
          <w:rFonts w:ascii="Times New Roman" w:eastAsia="Times New Roman" w:hAnsi="Times New Roman" w:cs="Times New Roman"/>
          <w:i/>
          <w:iCs/>
        </w:rPr>
      </w:pPr>
    </w:p>
    <w:p w14:paraId="6B9A2195" w14:textId="6005D224" w:rsidR="00AC61FE" w:rsidRDefault="00AC61FE" w:rsidP="00AC61FE">
      <w:pPr>
        <w:pStyle w:val="Heading3"/>
      </w:pPr>
      <w:r>
        <w:t>Problem</w:t>
      </w:r>
    </w:p>
    <w:p w14:paraId="7E5B38B9" w14:textId="0819177C" w:rsidR="00EF74B9" w:rsidRPr="00EF74B9" w:rsidRDefault="260ACD71" w:rsidP="00EF74B9">
      <w:pPr>
        <w:rPr>
          <w:rFonts w:ascii="Calibri" w:eastAsia="Times New Roman" w:hAnsi="Calibri" w:cs="Calibri"/>
          <w:sz w:val="22"/>
          <w:szCs w:val="22"/>
        </w:rPr>
      </w:pPr>
      <w:commentRangeStart w:id="3"/>
      <w:commentRangeStart w:id="4"/>
      <w:commentRangeStart w:id="5"/>
      <w:commentRangeStart w:id="6"/>
      <w:r w:rsidRPr="2C6B9BE3">
        <w:rPr>
          <w:rFonts w:ascii="Calibri" w:eastAsia="Times New Roman" w:hAnsi="Calibri" w:cs="Calibri"/>
          <w:sz w:val="22"/>
          <w:szCs w:val="22"/>
        </w:rPr>
        <w:t xml:space="preserve">Financial services firms are under unprecedented pressure from regulatory and legal challenges, with constantly changing rules on payment for order flow, best execution, cryptocurrency oversight, and capital adequacy. For </w:t>
      </w:r>
      <w:r w:rsidR="00AD72F2">
        <w:rPr>
          <w:rFonts w:ascii="Calibri" w:eastAsia="Times New Roman" w:hAnsi="Calibri" w:cs="Calibri"/>
          <w:sz w:val="22"/>
          <w:szCs w:val="22"/>
        </w:rPr>
        <w:t>Example</w:t>
      </w:r>
      <w:r w:rsidRPr="2C6B9BE3">
        <w:rPr>
          <w:rFonts w:ascii="Calibri" w:eastAsia="Times New Roman" w:hAnsi="Calibri" w:cs="Calibri"/>
          <w:sz w:val="22"/>
          <w:szCs w:val="22"/>
        </w:rPr>
        <w:t>, which serves millions of retail investors, the stakes are especially high ensuring that innovation is matched with regulatory accountability.</w:t>
      </w:r>
      <w:commentRangeEnd w:id="3"/>
      <w:r>
        <w:rPr>
          <w:rStyle w:val="CommentReference"/>
        </w:rPr>
        <w:commentReference w:id="3"/>
      </w:r>
      <w:commentRangeEnd w:id="4"/>
      <w:r>
        <w:rPr>
          <w:rStyle w:val="CommentReference"/>
        </w:rPr>
        <w:commentReference w:id="4"/>
      </w:r>
      <w:commentRangeEnd w:id="5"/>
      <w:r>
        <w:rPr>
          <w:rStyle w:val="CommentReference"/>
        </w:rPr>
        <w:commentReference w:id="5"/>
      </w:r>
      <w:commentRangeEnd w:id="6"/>
      <w:r>
        <w:rPr>
          <w:rStyle w:val="CommentReference"/>
        </w:rPr>
        <w:commentReference w:id="6"/>
      </w:r>
    </w:p>
    <w:p w14:paraId="7ABB4BE3" w14:textId="77777777" w:rsidR="00EF74B9" w:rsidRPr="00EF74B9" w:rsidRDefault="00EF74B9" w:rsidP="00EF74B9">
      <w:commentRangeStart w:id="8"/>
      <w:commentRangeEnd w:id="8"/>
      <w:r>
        <w:rPr>
          <w:rStyle w:val="CommentReference"/>
        </w:rPr>
        <w:commentReference w:id="8"/>
      </w:r>
    </w:p>
    <w:p w14:paraId="18E5115B" w14:textId="77777777" w:rsidR="00AC61FE" w:rsidRDefault="00AC61FE" w:rsidP="00AC61FE">
      <w:pPr>
        <w:pStyle w:val="Heading3"/>
        <w:spacing w:line="259" w:lineRule="auto"/>
      </w:pPr>
      <w:r>
        <w:t>Solution</w:t>
      </w:r>
    </w:p>
    <w:p w14:paraId="2F57770A" w14:textId="24692287" w:rsidR="00EF74B9" w:rsidRPr="00EF74B9" w:rsidRDefault="00EF74B9" w:rsidP="00EF74B9">
      <w:pPr>
        <w:rPr>
          <w:rFonts w:ascii="Calibri" w:eastAsia="Times New Roman" w:hAnsi="Calibri" w:cs="Calibri"/>
          <w:sz w:val="22"/>
          <w:szCs w:val="22"/>
        </w:rPr>
      </w:pPr>
      <w:commentRangeStart w:id="10"/>
      <w:proofErr w:type="spellStart"/>
      <w:r w:rsidRPr="7A053939">
        <w:rPr>
          <w:rFonts w:ascii="Calibri" w:eastAsia="Times New Roman" w:hAnsi="Calibri" w:cs="Calibri"/>
          <w:sz w:val="22"/>
          <w:szCs w:val="22"/>
        </w:rPr>
        <w:t>OCI’s</w:t>
      </w:r>
      <w:proofErr w:type="spellEnd"/>
      <w:r w:rsidRPr="7A053939">
        <w:rPr>
          <w:rFonts w:ascii="Calibri" w:eastAsia="Times New Roman" w:hAnsi="Calibri" w:cs="Calibri"/>
          <w:sz w:val="22"/>
          <w:szCs w:val="22"/>
        </w:rPr>
        <w:t xml:space="preserve"> </w:t>
      </w:r>
      <w:commentRangeStart w:id="11"/>
      <w:r w:rsidRPr="7A053939">
        <w:rPr>
          <w:rFonts w:ascii="Calibri" w:eastAsia="Times New Roman" w:hAnsi="Calibri" w:cs="Calibri"/>
          <w:sz w:val="22"/>
          <w:szCs w:val="22"/>
        </w:rPr>
        <w:t xml:space="preserve">pre-built </w:t>
      </w:r>
      <w:commentRangeEnd w:id="11"/>
      <w:r>
        <w:rPr>
          <w:rStyle w:val="CommentReference"/>
        </w:rPr>
        <w:commentReference w:id="11"/>
      </w:r>
      <w:r w:rsidRPr="7A053939">
        <w:rPr>
          <w:rFonts w:ascii="Calibri" w:eastAsia="Times New Roman" w:hAnsi="Calibri" w:cs="Calibri"/>
          <w:sz w:val="22"/>
          <w:szCs w:val="22"/>
        </w:rPr>
        <w:t xml:space="preserve">regulatory certifications and frameworks offers </w:t>
      </w:r>
      <w:r w:rsidR="00AD72F2">
        <w:rPr>
          <w:rFonts w:ascii="Calibri" w:eastAsia="Times New Roman" w:hAnsi="Calibri" w:cs="Calibri"/>
          <w:sz w:val="22"/>
          <w:szCs w:val="22"/>
        </w:rPr>
        <w:t>Example</w:t>
      </w:r>
      <w:r w:rsidRPr="7A053939">
        <w:rPr>
          <w:rFonts w:ascii="Calibri" w:eastAsia="Times New Roman" w:hAnsi="Calibri" w:cs="Calibri"/>
          <w:sz w:val="22"/>
          <w:szCs w:val="22"/>
        </w:rPr>
        <w:t xml:space="preserve"> the ability to process regulatory reports faster, monitor trading activity more effectively with AI-powered surveillance, and maintain secure, audit-ready records across jurisdictions</w:t>
      </w:r>
      <w:commentRangeEnd w:id="10"/>
      <w:r>
        <w:rPr>
          <w:rStyle w:val="CommentReference"/>
        </w:rPr>
        <w:commentReference w:id="10"/>
      </w:r>
      <w:r w:rsidRPr="7A053939">
        <w:rPr>
          <w:rFonts w:ascii="Calibri" w:eastAsia="Times New Roman" w:hAnsi="Calibri" w:cs="Calibri"/>
          <w:sz w:val="22"/>
          <w:szCs w:val="22"/>
        </w:rPr>
        <w:t>. These cap</w:t>
      </w:r>
      <w:commentRangeStart w:id="12"/>
      <w:commentRangeStart w:id="13"/>
      <w:r w:rsidRPr="7A053939">
        <w:rPr>
          <w:rFonts w:ascii="Calibri" w:eastAsia="Times New Roman" w:hAnsi="Calibri" w:cs="Calibri"/>
          <w:sz w:val="22"/>
          <w:szCs w:val="22"/>
        </w:rPr>
        <w:t>abilities not only reduce risk exposure but also improve transparency</w:t>
      </w:r>
      <w:commentRangeEnd w:id="12"/>
      <w:r>
        <w:rPr>
          <w:rStyle w:val="CommentReference"/>
        </w:rPr>
        <w:commentReference w:id="12"/>
      </w:r>
      <w:commentRangeEnd w:id="13"/>
      <w:r>
        <w:rPr>
          <w:rStyle w:val="CommentReference"/>
        </w:rPr>
        <w:commentReference w:id="13"/>
      </w:r>
      <w:r w:rsidRPr="7A053939">
        <w:rPr>
          <w:rFonts w:ascii="Calibri" w:eastAsia="Times New Roman" w:hAnsi="Calibri" w:cs="Calibri"/>
          <w:sz w:val="22"/>
          <w:szCs w:val="22"/>
        </w:rPr>
        <w:t xml:space="preserve"> for both regulators and customers.</w:t>
      </w:r>
    </w:p>
    <w:p w14:paraId="33576C6B" w14:textId="77777777" w:rsidR="004B383F" w:rsidRDefault="004B383F" w:rsidP="004B383F"/>
    <w:p w14:paraId="361D0216" w14:textId="77777777" w:rsidR="00AC61FE" w:rsidRDefault="00AC61FE" w:rsidP="00AC61FE">
      <w:pPr>
        <w:pStyle w:val="Heading3"/>
        <w:spacing w:line="259" w:lineRule="auto"/>
      </w:pPr>
      <w:r>
        <w:lastRenderedPageBreak/>
        <w:t>Oracle Quote</w:t>
      </w:r>
    </w:p>
    <w:p w14:paraId="18068E74" w14:textId="13D14BE1" w:rsidR="00694F78" w:rsidRPr="00694F78" w:rsidRDefault="00694F78" w:rsidP="00694F78">
      <w:pPr>
        <w:rPr>
          <w:rFonts w:ascii="Calibri" w:eastAsia="Times New Roman" w:hAnsi="Calibri" w:cs="Calibri"/>
          <w:sz w:val="22"/>
          <w:szCs w:val="22"/>
        </w:rPr>
      </w:pPr>
      <w:r w:rsidRPr="00694F78">
        <w:rPr>
          <w:rFonts w:ascii="Calibri" w:eastAsia="Times New Roman" w:hAnsi="Calibri" w:cs="Calibri"/>
          <w:sz w:val="22"/>
          <w:szCs w:val="22"/>
        </w:rPr>
        <w:t xml:space="preserve">“Oracle is proud to partner with </w:t>
      </w:r>
      <w:r w:rsidR="00AD72F2">
        <w:rPr>
          <w:rFonts w:ascii="Calibri" w:eastAsia="Times New Roman" w:hAnsi="Calibri" w:cs="Calibri"/>
          <w:sz w:val="22"/>
          <w:szCs w:val="22"/>
        </w:rPr>
        <w:t>Example</w:t>
      </w:r>
      <w:r w:rsidRPr="00694F78">
        <w:rPr>
          <w:rFonts w:ascii="Calibri" w:eastAsia="Times New Roman" w:hAnsi="Calibri" w:cs="Calibri"/>
          <w:sz w:val="22"/>
          <w:szCs w:val="22"/>
        </w:rPr>
        <w:t xml:space="preserve"> to deliver a compliance-first future for retail investing,” said </w:t>
      </w:r>
      <w:r>
        <w:rPr>
          <w:rFonts w:ascii="Calibri" w:eastAsia="Times New Roman" w:hAnsi="Calibri" w:cs="Calibri"/>
          <w:sz w:val="22"/>
          <w:szCs w:val="22"/>
        </w:rPr>
        <w:t>Chad McAfee</w:t>
      </w:r>
      <w:r w:rsidRPr="00694F78">
        <w:rPr>
          <w:rFonts w:ascii="Calibri" w:eastAsia="Times New Roman" w:hAnsi="Calibri" w:cs="Calibri"/>
          <w:sz w:val="22"/>
          <w:szCs w:val="22"/>
        </w:rPr>
        <w:t xml:space="preserve">, </w:t>
      </w:r>
      <w:proofErr w:type="spellStart"/>
      <w:r>
        <w:rPr>
          <w:rFonts w:ascii="Calibri" w:eastAsia="Times New Roman" w:hAnsi="Calibri" w:cs="Calibri"/>
          <w:sz w:val="22"/>
          <w:szCs w:val="22"/>
        </w:rPr>
        <w:t>G</w:t>
      </w:r>
      <w:r w:rsidRPr="00694F78">
        <w:rPr>
          <w:rFonts w:ascii="Calibri" w:eastAsia="Times New Roman" w:hAnsi="Calibri" w:cs="Calibri"/>
          <w:sz w:val="22"/>
          <w:szCs w:val="22"/>
        </w:rPr>
        <w:t>VP</w:t>
      </w:r>
      <w:proofErr w:type="spellEnd"/>
      <w:r w:rsidRPr="00694F78">
        <w:rPr>
          <w:rFonts w:ascii="Calibri" w:eastAsia="Times New Roman" w:hAnsi="Calibri" w:cs="Calibri"/>
          <w:sz w:val="22"/>
          <w:szCs w:val="22"/>
        </w:rPr>
        <w:t xml:space="preserve"> of Cloud Engineering at Oracle. “By combining </w:t>
      </w:r>
      <w:r w:rsidR="00AD72F2">
        <w:rPr>
          <w:rFonts w:ascii="Calibri" w:eastAsia="Times New Roman" w:hAnsi="Calibri" w:cs="Calibri"/>
          <w:sz w:val="22"/>
          <w:szCs w:val="22"/>
        </w:rPr>
        <w:t>Example</w:t>
      </w:r>
      <w:r w:rsidRPr="00694F78">
        <w:rPr>
          <w:rFonts w:ascii="Calibri" w:eastAsia="Times New Roman" w:hAnsi="Calibri" w:cs="Calibri"/>
          <w:sz w:val="22"/>
          <w:szCs w:val="22"/>
        </w:rPr>
        <w:t xml:space="preserve">’s customer-first innovation with </w:t>
      </w:r>
      <w:proofErr w:type="spellStart"/>
      <w:r w:rsidRPr="00694F78">
        <w:rPr>
          <w:rFonts w:ascii="Calibri" w:eastAsia="Times New Roman" w:hAnsi="Calibri" w:cs="Calibri"/>
          <w:sz w:val="22"/>
          <w:szCs w:val="22"/>
        </w:rPr>
        <w:t>OCI’s</w:t>
      </w:r>
      <w:proofErr w:type="spellEnd"/>
      <w:r w:rsidRPr="00694F78">
        <w:rPr>
          <w:rFonts w:ascii="Calibri" w:eastAsia="Times New Roman" w:hAnsi="Calibri" w:cs="Calibri"/>
          <w:sz w:val="22"/>
          <w:szCs w:val="22"/>
        </w:rPr>
        <w:t xml:space="preserve"> regulatory-grade infrastructure, we’re creating a model for how Fintech’s can thrive in even the most complex regulatory environments.”</w:t>
      </w:r>
    </w:p>
    <w:p w14:paraId="13C9AD28" w14:textId="77777777" w:rsidR="00680978" w:rsidRPr="00680978" w:rsidRDefault="00680978" w:rsidP="00680978"/>
    <w:p w14:paraId="3B279BC9" w14:textId="77777777" w:rsidR="00AC61FE" w:rsidRPr="00772855" w:rsidRDefault="00AC61FE" w:rsidP="00AC61FE">
      <w:pPr>
        <w:pStyle w:val="Heading3"/>
        <w:spacing w:line="259" w:lineRule="auto"/>
      </w:pPr>
      <w:r>
        <w:t>Customer Quote</w:t>
      </w:r>
    </w:p>
    <w:p w14:paraId="661441CD" w14:textId="69E5565D" w:rsidR="00694F78" w:rsidRDefault="00694F78" w:rsidP="00694F78">
      <w:pPr>
        <w:rPr>
          <w:rFonts w:ascii="Calibri" w:eastAsia="Times New Roman" w:hAnsi="Calibri" w:cs="Calibri"/>
          <w:sz w:val="22"/>
          <w:szCs w:val="22"/>
        </w:rPr>
      </w:pPr>
      <w:r w:rsidRPr="00694F78">
        <w:rPr>
          <w:rFonts w:ascii="Calibri" w:eastAsia="Times New Roman" w:hAnsi="Calibri" w:cs="Calibri"/>
          <w:sz w:val="22"/>
          <w:szCs w:val="22"/>
        </w:rPr>
        <w:t xml:space="preserve">“Compliance and safety are at the heart of democratizing finance,” said Jeff Pinner Chief Technology Officer at </w:t>
      </w:r>
      <w:r w:rsidR="00AD72F2">
        <w:rPr>
          <w:rFonts w:ascii="Calibri" w:eastAsia="Times New Roman" w:hAnsi="Calibri" w:cs="Calibri"/>
          <w:sz w:val="22"/>
          <w:szCs w:val="22"/>
        </w:rPr>
        <w:t>Example</w:t>
      </w:r>
      <w:r w:rsidRPr="00694F78">
        <w:rPr>
          <w:rFonts w:ascii="Calibri" w:eastAsia="Times New Roman" w:hAnsi="Calibri" w:cs="Calibri"/>
          <w:sz w:val="22"/>
          <w:szCs w:val="22"/>
        </w:rPr>
        <w:t>. “Partnering with Oracle gives us the scale, security, and reliability to build a platform that regulators can trust, and customers can depend on.”</w:t>
      </w:r>
    </w:p>
    <w:p w14:paraId="66BAD42C" w14:textId="77777777" w:rsidR="00694F78" w:rsidRPr="00694F78" w:rsidRDefault="00694F78" w:rsidP="00694F78">
      <w:pPr>
        <w:rPr>
          <w:rFonts w:ascii="Calibri" w:eastAsia="Times New Roman" w:hAnsi="Calibri" w:cs="Calibri"/>
          <w:sz w:val="22"/>
          <w:szCs w:val="22"/>
        </w:rPr>
      </w:pPr>
    </w:p>
    <w:p w14:paraId="322D5407" w14:textId="141D132F" w:rsidR="00694F78" w:rsidRPr="00694F78" w:rsidRDefault="00694F78" w:rsidP="00694F78">
      <w:pPr>
        <w:rPr>
          <w:rFonts w:ascii="Calibri" w:eastAsia="Times New Roman" w:hAnsi="Calibri" w:cs="Calibri"/>
          <w:sz w:val="22"/>
          <w:szCs w:val="22"/>
        </w:rPr>
      </w:pPr>
      <w:r w:rsidRPr="00694F78">
        <w:rPr>
          <w:rFonts w:ascii="Calibri" w:eastAsia="Times New Roman" w:hAnsi="Calibri" w:cs="Calibri"/>
          <w:sz w:val="22"/>
          <w:szCs w:val="22"/>
        </w:rPr>
        <w:t>“</w:t>
      </w:r>
      <w:commentRangeStart w:id="14"/>
      <w:r w:rsidRPr="00694F78">
        <w:rPr>
          <w:rFonts w:ascii="Calibri" w:eastAsia="Times New Roman" w:hAnsi="Calibri" w:cs="Calibri"/>
          <w:sz w:val="22"/>
          <w:szCs w:val="22"/>
        </w:rPr>
        <w:t>Removing the burden of regulatory compliance challenges with OCI</w:t>
      </w:r>
      <w:commentRangeEnd w:id="14"/>
      <w:r>
        <w:rPr>
          <w:rStyle w:val="CommentReference"/>
        </w:rPr>
        <w:commentReference w:id="14"/>
      </w:r>
      <w:r w:rsidRPr="00694F78">
        <w:rPr>
          <w:rFonts w:ascii="Calibri" w:eastAsia="Times New Roman" w:hAnsi="Calibri" w:cs="Calibri"/>
          <w:sz w:val="22"/>
          <w:szCs w:val="22"/>
        </w:rPr>
        <w:t xml:space="preserve">, has opened the door for our investors to access the largest growth opportunities in the world with 100% confidence that </w:t>
      </w:r>
      <w:r w:rsidR="00AD72F2">
        <w:rPr>
          <w:rFonts w:ascii="Calibri" w:eastAsia="Times New Roman" w:hAnsi="Calibri" w:cs="Calibri"/>
          <w:sz w:val="22"/>
          <w:szCs w:val="22"/>
        </w:rPr>
        <w:t>Example</w:t>
      </w:r>
      <w:r w:rsidRPr="00694F78">
        <w:rPr>
          <w:rFonts w:ascii="Calibri" w:eastAsia="Times New Roman" w:hAnsi="Calibri" w:cs="Calibri"/>
          <w:sz w:val="22"/>
          <w:szCs w:val="22"/>
        </w:rPr>
        <w:t xml:space="preserve"> is responsibly investing their hard-earned money, creating wealth opportunities our investors never dreamed of” said Vlad Tenev CEO &amp; Founder of </w:t>
      </w:r>
      <w:r w:rsidR="00AD72F2">
        <w:rPr>
          <w:rFonts w:ascii="Calibri" w:eastAsia="Times New Roman" w:hAnsi="Calibri" w:cs="Calibri"/>
          <w:sz w:val="22"/>
          <w:szCs w:val="22"/>
        </w:rPr>
        <w:t>Example</w:t>
      </w:r>
      <w:r w:rsidRPr="00694F78">
        <w:rPr>
          <w:rFonts w:ascii="Calibri" w:eastAsia="Times New Roman" w:hAnsi="Calibri" w:cs="Calibri"/>
          <w:sz w:val="22"/>
          <w:szCs w:val="22"/>
        </w:rPr>
        <w:t xml:space="preserve">. </w:t>
      </w:r>
    </w:p>
    <w:p w14:paraId="37C2FB4F" w14:textId="153C4E48" w:rsidR="00AC61FE" w:rsidRDefault="00AC61FE" w:rsidP="25F01714">
      <w:pPr>
        <w:pStyle w:val="Heading2"/>
        <w:rPr>
          <w:rFonts w:ascii="Times New Roman" w:eastAsia="Times New Roman" w:hAnsi="Times New Roman" w:cs="Times New Roman"/>
          <w:b/>
          <w:bCs/>
          <w:sz w:val="36"/>
          <w:szCs w:val="36"/>
        </w:rPr>
      </w:pPr>
      <w:r>
        <w:br/>
      </w:r>
      <w:r w:rsidR="25F01714">
        <w:t>External (Customer) Questions</w:t>
      </w:r>
    </w:p>
    <w:p w14:paraId="517F0842" w14:textId="5128A3B1" w:rsidR="00F00769" w:rsidRPr="00961955" w:rsidRDefault="00F00769" w:rsidP="00961955">
      <w:pPr>
        <w:pStyle w:val="ListParagraph"/>
        <w:numPr>
          <w:ilvl w:val="0"/>
          <w:numId w:val="7"/>
        </w:numPr>
        <w:rPr>
          <w:rFonts w:ascii="Calibri" w:eastAsia="Times New Roman" w:hAnsi="Calibri" w:cs="Calibri"/>
          <w:b/>
          <w:bCs/>
          <w:sz w:val="22"/>
          <w:szCs w:val="22"/>
        </w:rPr>
      </w:pPr>
      <w:r w:rsidRPr="00961955">
        <w:rPr>
          <w:rFonts w:ascii="Calibri" w:eastAsia="Times New Roman" w:hAnsi="Calibri" w:cs="Calibri"/>
          <w:b/>
          <w:bCs/>
          <w:sz w:val="22"/>
          <w:szCs w:val="22"/>
        </w:rPr>
        <w:t xml:space="preserve">What challenges are </w:t>
      </w:r>
      <w:r w:rsidR="00AD72F2">
        <w:rPr>
          <w:rFonts w:ascii="Calibri" w:eastAsia="Times New Roman" w:hAnsi="Calibri" w:cs="Calibri"/>
          <w:b/>
          <w:bCs/>
          <w:sz w:val="22"/>
          <w:szCs w:val="22"/>
        </w:rPr>
        <w:t>Example</w:t>
      </w:r>
      <w:r w:rsidRPr="00961955">
        <w:rPr>
          <w:rFonts w:ascii="Calibri" w:eastAsia="Times New Roman" w:hAnsi="Calibri" w:cs="Calibri"/>
          <w:b/>
          <w:bCs/>
          <w:sz w:val="22"/>
          <w:szCs w:val="22"/>
        </w:rPr>
        <w:t xml:space="preserve"> and OCI addressing together?</w:t>
      </w:r>
    </w:p>
    <w:p w14:paraId="5568BA56" w14:textId="2026D83F" w:rsidR="00F00769" w:rsidRDefault="00AD72F2" w:rsidP="00961955">
      <w:pPr>
        <w:pStyle w:val="ListParagraph"/>
        <w:numPr>
          <w:ilvl w:val="0"/>
          <w:numId w:val="25"/>
        </w:numPr>
        <w:rPr>
          <w:rFonts w:ascii="Calibri" w:eastAsia="Times New Roman" w:hAnsi="Calibri" w:cs="Calibri"/>
          <w:sz w:val="22"/>
          <w:szCs w:val="22"/>
        </w:rPr>
      </w:pPr>
      <w:r>
        <w:rPr>
          <w:rFonts w:ascii="Calibri" w:eastAsia="Times New Roman" w:hAnsi="Calibri" w:cs="Calibri"/>
          <w:sz w:val="22"/>
          <w:szCs w:val="22"/>
        </w:rPr>
        <w:t>Example</w:t>
      </w:r>
      <w:r w:rsidR="00F00769" w:rsidRPr="7A053939">
        <w:rPr>
          <w:rFonts w:ascii="Calibri" w:eastAsia="Times New Roman" w:hAnsi="Calibri" w:cs="Calibri"/>
          <w:sz w:val="22"/>
          <w:szCs w:val="22"/>
        </w:rPr>
        <w:t xml:space="preserve"> faces </w:t>
      </w:r>
      <w:commentRangeStart w:id="15"/>
      <w:commentRangeStart w:id="16"/>
      <w:r w:rsidR="00F00769" w:rsidRPr="7A053939">
        <w:rPr>
          <w:rFonts w:ascii="Calibri" w:eastAsia="Times New Roman" w:hAnsi="Calibri" w:cs="Calibri"/>
          <w:sz w:val="22"/>
          <w:szCs w:val="22"/>
        </w:rPr>
        <w:t>regulatory and legal pressures</w:t>
      </w:r>
      <w:commentRangeEnd w:id="15"/>
      <w:r w:rsidR="00F00769">
        <w:rPr>
          <w:rStyle w:val="CommentReference"/>
        </w:rPr>
        <w:commentReference w:id="15"/>
      </w:r>
      <w:commentRangeEnd w:id="16"/>
      <w:r w:rsidR="00F00769">
        <w:rPr>
          <w:rStyle w:val="CommentReference"/>
        </w:rPr>
        <w:commentReference w:id="16"/>
      </w:r>
      <w:r w:rsidR="00F00769" w:rsidRPr="7A053939">
        <w:rPr>
          <w:rFonts w:ascii="Calibri" w:eastAsia="Times New Roman" w:hAnsi="Calibri" w:cs="Calibri"/>
          <w:sz w:val="22"/>
          <w:szCs w:val="22"/>
        </w:rPr>
        <w:t xml:space="preserve"> that require greater transparency, faster reporting, and stronger risk controls. </w:t>
      </w:r>
      <w:proofErr w:type="spellStart"/>
      <w:r w:rsidR="00F00769" w:rsidRPr="7A053939">
        <w:rPr>
          <w:rFonts w:ascii="Calibri" w:eastAsia="Times New Roman" w:hAnsi="Calibri" w:cs="Calibri"/>
          <w:sz w:val="22"/>
          <w:szCs w:val="22"/>
        </w:rPr>
        <w:t>OCI’s</w:t>
      </w:r>
      <w:proofErr w:type="spellEnd"/>
      <w:r w:rsidR="00F00769" w:rsidRPr="7A053939">
        <w:rPr>
          <w:rFonts w:ascii="Calibri" w:eastAsia="Times New Roman" w:hAnsi="Calibri" w:cs="Calibri"/>
          <w:sz w:val="22"/>
          <w:szCs w:val="22"/>
        </w:rPr>
        <w:t xml:space="preserve"> cloud infrastructure enables </w:t>
      </w:r>
      <w:r>
        <w:rPr>
          <w:rFonts w:ascii="Calibri" w:eastAsia="Times New Roman" w:hAnsi="Calibri" w:cs="Calibri"/>
          <w:sz w:val="22"/>
          <w:szCs w:val="22"/>
        </w:rPr>
        <w:t>Example</w:t>
      </w:r>
      <w:r w:rsidR="00F00769" w:rsidRPr="7A053939">
        <w:rPr>
          <w:rFonts w:ascii="Calibri" w:eastAsia="Times New Roman" w:hAnsi="Calibri" w:cs="Calibri"/>
          <w:sz w:val="22"/>
          <w:szCs w:val="22"/>
        </w:rPr>
        <w:t xml:space="preserve"> to scale compliance capabilities while maintaining cost efficiency and security.</w:t>
      </w:r>
    </w:p>
    <w:p w14:paraId="0025555C" w14:textId="77777777" w:rsidR="00961955" w:rsidRPr="00F00769" w:rsidRDefault="00961955" w:rsidP="00961955">
      <w:pPr>
        <w:pStyle w:val="ListParagraph"/>
        <w:rPr>
          <w:rFonts w:ascii="Calibri" w:eastAsia="Times New Roman" w:hAnsi="Calibri" w:cs="Calibri"/>
          <w:sz w:val="22"/>
          <w:szCs w:val="22"/>
        </w:rPr>
      </w:pPr>
    </w:p>
    <w:p w14:paraId="37C7960F" w14:textId="419D7499" w:rsidR="00F00769" w:rsidRPr="00BE06B8" w:rsidRDefault="00F00769" w:rsidP="00F00769">
      <w:pPr>
        <w:pStyle w:val="ListParagraph"/>
        <w:numPr>
          <w:ilvl w:val="0"/>
          <w:numId w:val="7"/>
        </w:numPr>
      </w:pPr>
      <w:r w:rsidRPr="00961955">
        <w:rPr>
          <w:rFonts w:ascii="Calibri" w:eastAsia="Times New Roman" w:hAnsi="Calibri" w:cs="Calibri"/>
          <w:b/>
          <w:bCs/>
          <w:sz w:val="22"/>
          <w:szCs w:val="22"/>
        </w:rPr>
        <w:t>What specific solutions are being implemented?</w:t>
      </w:r>
    </w:p>
    <w:p w14:paraId="1889C256" w14:textId="56A063C4" w:rsidR="00C86CAD" w:rsidRPr="00961955" w:rsidRDefault="00C86CAD" w:rsidP="00961955">
      <w:pPr>
        <w:pStyle w:val="ListParagraph"/>
        <w:numPr>
          <w:ilvl w:val="0"/>
          <w:numId w:val="24"/>
        </w:numPr>
        <w:rPr>
          <w:rFonts w:ascii="Calibri" w:eastAsia="Times New Roman" w:hAnsi="Calibri" w:cs="Calibri"/>
          <w:sz w:val="22"/>
          <w:szCs w:val="22"/>
        </w:rPr>
      </w:pPr>
      <w:r w:rsidRPr="7A053939">
        <w:rPr>
          <w:rFonts w:ascii="Calibri" w:eastAsia="Times New Roman" w:hAnsi="Calibri" w:cs="Calibri"/>
          <w:sz w:val="22"/>
          <w:szCs w:val="22"/>
        </w:rPr>
        <w:t xml:space="preserve">Trust Through Security and Compliance. As a regulated financial services company, we put trust at the center of everything we do. </w:t>
      </w:r>
      <w:commentRangeStart w:id="18"/>
      <w:commentRangeStart w:id="19"/>
      <w:proofErr w:type="spellStart"/>
      <w:r w:rsidRPr="7A053939">
        <w:rPr>
          <w:rFonts w:ascii="Calibri" w:eastAsia="Times New Roman" w:hAnsi="Calibri" w:cs="Calibri"/>
          <w:sz w:val="22"/>
          <w:szCs w:val="22"/>
        </w:rPr>
        <w:t>OCI’s</w:t>
      </w:r>
      <w:proofErr w:type="spellEnd"/>
      <w:r w:rsidRPr="7A053939">
        <w:rPr>
          <w:rFonts w:ascii="Calibri" w:eastAsia="Times New Roman" w:hAnsi="Calibri" w:cs="Calibri"/>
          <w:sz w:val="22"/>
          <w:szCs w:val="22"/>
        </w:rPr>
        <w:t xml:space="preserve"> advanced security framework—including end-to-end encryption, confidential computing, and compliance certifications across global financial regulations</w:t>
      </w:r>
      <w:commentRangeEnd w:id="18"/>
      <w:r>
        <w:rPr>
          <w:rStyle w:val="CommentReference"/>
        </w:rPr>
        <w:commentReference w:id="18"/>
      </w:r>
      <w:commentRangeEnd w:id="19"/>
      <w:r>
        <w:rPr>
          <w:rStyle w:val="CommentReference"/>
        </w:rPr>
        <w:commentReference w:id="19"/>
      </w:r>
      <w:r w:rsidRPr="7A053939">
        <w:rPr>
          <w:rFonts w:ascii="Calibri" w:eastAsia="Times New Roman" w:hAnsi="Calibri" w:cs="Calibri"/>
          <w:sz w:val="22"/>
          <w:szCs w:val="22"/>
        </w:rPr>
        <w:t>—will strengthen our resilience and expand our ability to meet evolving regulatory requirements.</w:t>
      </w:r>
    </w:p>
    <w:p w14:paraId="52323862" w14:textId="62B534EC" w:rsidR="00F00769" w:rsidRDefault="00F00769" w:rsidP="00961955">
      <w:pPr>
        <w:pStyle w:val="ListParagraph"/>
        <w:numPr>
          <w:ilvl w:val="0"/>
          <w:numId w:val="24"/>
        </w:numPr>
        <w:rPr>
          <w:rFonts w:ascii="Calibri" w:eastAsia="Times New Roman" w:hAnsi="Calibri" w:cs="Calibri"/>
          <w:sz w:val="22"/>
          <w:szCs w:val="22"/>
        </w:rPr>
      </w:pPr>
      <w:r w:rsidRPr="00961955">
        <w:rPr>
          <w:rFonts w:ascii="Calibri" w:eastAsia="Times New Roman" w:hAnsi="Calibri" w:cs="Calibri"/>
          <w:sz w:val="22"/>
          <w:szCs w:val="22"/>
        </w:rPr>
        <w:t xml:space="preserve">Global data residency solutions ensuring compliance with U.S., EU, and U.K. </w:t>
      </w:r>
      <w:commentRangeStart w:id="20"/>
      <w:r w:rsidRPr="00961955">
        <w:rPr>
          <w:rFonts w:ascii="Calibri" w:eastAsia="Times New Roman" w:hAnsi="Calibri" w:cs="Calibri"/>
          <w:sz w:val="22"/>
          <w:szCs w:val="22"/>
        </w:rPr>
        <w:t>regulations.</w:t>
      </w:r>
      <w:commentRangeEnd w:id="20"/>
      <w:r w:rsidR="00211991">
        <w:rPr>
          <w:rStyle w:val="CommentReference"/>
        </w:rPr>
        <w:commentReference w:id="20"/>
      </w:r>
    </w:p>
    <w:p w14:paraId="4C6AE0D8" w14:textId="2955BA26" w:rsidR="00C86CAD" w:rsidRPr="00C86CAD" w:rsidRDefault="00C86CAD" w:rsidP="00C86CAD">
      <w:pPr>
        <w:pStyle w:val="ListParagraph"/>
        <w:numPr>
          <w:ilvl w:val="0"/>
          <w:numId w:val="24"/>
        </w:numPr>
        <w:rPr>
          <w:rFonts w:ascii="Calibri" w:eastAsia="Times New Roman" w:hAnsi="Calibri" w:cs="Calibri"/>
          <w:sz w:val="22"/>
          <w:szCs w:val="22"/>
        </w:rPr>
      </w:pPr>
      <w:commentRangeStart w:id="21"/>
      <w:r w:rsidRPr="7A053939">
        <w:rPr>
          <w:rFonts w:ascii="Calibri" w:eastAsia="Times New Roman" w:hAnsi="Calibri" w:cs="Calibri"/>
          <w:sz w:val="22"/>
          <w:szCs w:val="22"/>
        </w:rPr>
        <w:t>AI-driven trade surveillance hosted on OCI. Fraud and Risk Agents that continuously monitor transactions, flag anomalies, and trigger real-time responses without manual intervention</w:t>
      </w:r>
      <w:commentRangeEnd w:id="21"/>
      <w:r>
        <w:rPr>
          <w:rStyle w:val="CommentReference"/>
        </w:rPr>
        <w:commentReference w:id="21"/>
      </w:r>
      <w:r w:rsidRPr="7A053939">
        <w:rPr>
          <w:rFonts w:ascii="Calibri" w:eastAsia="Times New Roman" w:hAnsi="Calibri" w:cs="Calibri"/>
          <w:sz w:val="22"/>
          <w:szCs w:val="22"/>
        </w:rPr>
        <w:t>.</w:t>
      </w:r>
    </w:p>
    <w:p w14:paraId="6BA9E9FB" w14:textId="77777777" w:rsidR="00F00769" w:rsidRPr="00961955" w:rsidRDefault="00F00769" w:rsidP="00961955">
      <w:pPr>
        <w:pStyle w:val="ListParagraph"/>
        <w:numPr>
          <w:ilvl w:val="0"/>
          <w:numId w:val="24"/>
        </w:numPr>
        <w:rPr>
          <w:rFonts w:ascii="Calibri" w:eastAsia="Times New Roman" w:hAnsi="Calibri" w:cs="Calibri"/>
          <w:sz w:val="22"/>
          <w:szCs w:val="22"/>
        </w:rPr>
      </w:pPr>
      <w:r w:rsidRPr="00961955">
        <w:rPr>
          <w:rFonts w:ascii="Calibri" w:eastAsia="Times New Roman" w:hAnsi="Calibri" w:cs="Calibri"/>
          <w:sz w:val="22"/>
          <w:szCs w:val="22"/>
        </w:rPr>
        <w:t xml:space="preserve">Disaster recovery and operational resilience powered by </w:t>
      </w:r>
      <w:proofErr w:type="spellStart"/>
      <w:r w:rsidRPr="00961955">
        <w:rPr>
          <w:rFonts w:ascii="Calibri" w:eastAsia="Times New Roman" w:hAnsi="Calibri" w:cs="Calibri"/>
          <w:sz w:val="22"/>
          <w:szCs w:val="22"/>
        </w:rPr>
        <w:t>OCI’s</w:t>
      </w:r>
      <w:proofErr w:type="spellEnd"/>
      <w:r w:rsidRPr="00961955">
        <w:rPr>
          <w:rFonts w:ascii="Calibri" w:eastAsia="Times New Roman" w:hAnsi="Calibri" w:cs="Calibri"/>
          <w:sz w:val="22"/>
          <w:szCs w:val="22"/>
        </w:rPr>
        <w:t xml:space="preserve"> distributed cloud.</w:t>
      </w:r>
    </w:p>
    <w:p w14:paraId="28524A31" w14:textId="77777777" w:rsidR="00C4026D" w:rsidRDefault="00C4026D" w:rsidP="00F00769">
      <w:pPr>
        <w:rPr>
          <w:rFonts w:ascii="Calibri" w:eastAsia="Times New Roman" w:hAnsi="Calibri" w:cs="Calibri"/>
          <w:b/>
          <w:bCs/>
          <w:sz w:val="22"/>
          <w:szCs w:val="22"/>
        </w:rPr>
      </w:pPr>
    </w:p>
    <w:p w14:paraId="6A4AD191" w14:textId="516C76D3" w:rsidR="00C4026D" w:rsidRPr="00C4026D" w:rsidRDefault="00F00769" w:rsidP="00C4026D">
      <w:pPr>
        <w:pStyle w:val="ListParagraph"/>
        <w:numPr>
          <w:ilvl w:val="0"/>
          <w:numId w:val="7"/>
        </w:numPr>
      </w:pPr>
      <w:r w:rsidRPr="00C4026D">
        <w:rPr>
          <w:rFonts w:ascii="Calibri" w:eastAsia="Times New Roman" w:hAnsi="Calibri" w:cs="Calibri"/>
          <w:b/>
          <w:bCs/>
          <w:sz w:val="22"/>
          <w:szCs w:val="22"/>
        </w:rPr>
        <w:t xml:space="preserve">How does this benefit </w:t>
      </w:r>
      <w:r w:rsidR="00AD72F2">
        <w:rPr>
          <w:rFonts w:ascii="Calibri" w:eastAsia="Times New Roman" w:hAnsi="Calibri" w:cs="Calibri"/>
          <w:b/>
          <w:bCs/>
          <w:sz w:val="22"/>
          <w:szCs w:val="22"/>
        </w:rPr>
        <w:t>Example</w:t>
      </w:r>
      <w:r w:rsidRPr="00C4026D">
        <w:rPr>
          <w:rFonts w:ascii="Calibri" w:eastAsia="Times New Roman" w:hAnsi="Calibri" w:cs="Calibri"/>
          <w:b/>
          <w:bCs/>
          <w:sz w:val="22"/>
          <w:szCs w:val="22"/>
        </w:rPr>
        <w:t xml:space="preserve"> customers?</w:t>
      </w:r>
    </w:p>
    <w:p w14:paraId="735AD2F1" w14:textId="2074C4E7" w:rsidR="00F00769" w:rsidRPr="00C4026D" w:rsidRDefault="00F00769" w:rsidP="00C4026D">
      <w:pPr>
        <w:pStyle w:val="ListParagraph"/>
        <w:numPr>
          <w:ilvl w:val="0"/>
          <w:numId w:val="27"/>
        </w:numPr>
      </w:pPr>
      <w:r w:rsidRPr="00C4026D">
        <w:rPr>
          <w:rFonts w:ascii="Calibri" w:eastAsia="Times New Roman" w:hAnsi="Calibri" w:cs="Calibri"/>
          <w:sz w:val="22"/>
          <w:szCs w:val="22"/>
        </w:rPr>
        <w:t xml:space="preserve">Customers gain confidence knowing </w:t>
      </w:r>
      <w:r w:rsidR="00AD72F2">
        <w:rPr>
          <w:rFonts w:ascii="Calibri" w:eastAsia="Times New Roman" w:hAnsi="Calibri" w:cs="Calibri"/>
          <w:sz w:val="22"/>
          <w:szCs w:val="22"/>
        </w:rPr>
        <w:t>Example</w:t>
      </w:r>
      <w:r w:rsidRPr="00C4026D">
        <w:rPr>
          <w:rFonts w:ascii="Calibri" w:eastAsia="Times New Roman" w:hAnsi="Calibri" w:cs="Calibri"/>
          <w:sz w:val="22"/>
          <w:szCs w:val="22"/>
        </w:rPr>
        <w:t xml:space="preserve"> operates on infrastructure designed to meet the world’s strictest compliance standards. This minimizes risks of service disruption, fines, or regulatory sanctions, while ensuring continued innovation.</w:t>
      </w:r>
    </w:p>
    <w:p w14:paraId="62BF8E29" w14:textId="77777777" w:rsidR="00C4026D" w:rsidRPr="00BE06B8" w:rsidRDefault="00C4026D" w:rsidP="00C4026D">
      <w:pPr>
        <w:pStyle w:val="ListParagraph"/>
      </w:pPr>
    </w:p>
    <w:p w14:paraId="2E84E15C" w14:textId="70F8BFBA" w:rsidR="00C4026D" w:rsidRDefault="00F00769" w:rsidP="00C4026D">
      <w:pPr>
        <w:pStyle w:val="ListParagraph"/>
        <w:numPr>
          <w:ilvl w:val="0"/>
          <w:numId w:val="7"/>
        </w:numPr>
      </w:pPr>
      <w:r w:rsidRPr="00C4026D">
        <w:rPr>
          <w:rFonts w:ascii="Calibri" w:eastAsia="Times New Roman" w:hAnsi="Calibri" w:cs="Calibri"/>
          <w:b/>
          <w:bCs/>
          <w:sz w:val="22"/>
          <w:szCs w:val="22"/>
        </w:rPr>
        <w:t xml:space="preserve">Is </w:t>
      </w:r>
      <w:r w:rsidR="00AD72F2">
        <w:rPr>
          <w:rFonts w:ascii="Calibri" w:eastAsia="Times New Roman" w:hAnsi="Calibri" w:cs="Calibri"/>
          <w:b/>
          <w:bCs/>
          <w:sz w:val="22"/>
          <w:szCs w:val="22"/>
        </w:rPr>
        <w:t>Example</w:t>
      </w:r>
      <w:r w:rsidRPr="00C4026D">
        <w:rPr>
          <w:rFonts w:ascii="Calibri" w:eastAsia="Times New Roman" w:hAnsi="Calibri" w:cs="Calibri"/>
          <w:b/>
          <w:bCs/>
          <w:sz w:val="22"/>
          <w:szCs w:val="22"/>
        </w:rPr>
        <w:t xml:space="preserve"> moving its entire infrastructure to OCI?</w:t>
      </w:r>
    </w:p>
    <w:p w14:paraId="7E5B4F8C" w14:textId="61DEE993" w:rsidR="00F00769" w:rsidRPr="00C4026D" w:rsidRDefault="00F00769" w:rsidP="7A053939">
      <w:pPr>
        <w:pStyle w:val="ListParagraph"/>
        <w:numPr>
          <w:ilvl w:val="0"/>
          <w:numId w:val="27"/>
        </w:numPr>
        <w:rPr>
          <w:rFonts w:ascii="Calibri" w:eastAsia="Times New Roman" w:hAnsi="Calibri" w:cs="Calibri"/>
          <w:sz w:val="22"/>
          <w:szCs w:val="22"/>
        </w:rPr>
      </w:pPr>
      <w:r w:rsidRPr="7A053939">
        <w:rPr>
          <w:rFonts w:ascii="Calibri" w:eastAsia="Times New Roman" w:hAnsi="Calibri" w:cs="Calibri"/>
          <w:sz w:val="22"/>
          <w:szCs w:val="22"/>
        </w:rPr>
        <w:t xml:space="preserve">Not completely. </w:t>
      </w:r>
      <w:r w:rsidR="00AD72F2">
        <w:rPr>
          <w:rFonts w:ascii="Calibri" w:eastAsia="Times New Roman" w:hAnsi="Calibri" w:cs="Calibri"/>
          <w:sz w:val="22"/>
          <w:szCs w:val="22"/>
        </w:rPr>
        <w:t>Example</w:t>
      </w:r>
      <w:r w:rsidRPr="7A053939">
        <w:rPr>
          <w:rFonts w:ascii="Calibri" w:eastAsia="Times New Roman" w:hAnsi="Calibri" w:cs="Calibri"/>
          <w:sz w:val="22"/>
          <w:szCs w:val="22"/>
        </w:rPr>
        <w:t xml:space="preserve"> will </w:t>
      </w:r>
      <w:commentRangeStart w:id="22"/>
      <w:commentRangeStart w:id="23"/>
      <w:r w:rsidRPr="7A053939">
        <w:rPr>
          <w:rFonts w:ascii="Calibri" w:eastAsia="Times New Roman" w:hAnsi="Calibri" w:cs="Calibri"/>
          <w:sz w:val="22"/>
          <w:szCs w:val="22"/>
        </w:rPr>
        <w:t>migrate key compliance and regulatory workloads</w:t>
      </w:r>
      <w:commentRangeEnd w:id="22"/>
      <w:r>
        <w:rPr>
          <w:rStyle w:val="CommentReference"/>
        </w:rPr>
        <w:commentReference w:id="22"/>
      </w:r>
      <w:commentRangeEnd w:id="23"/>
      <w:r>
        <w:rPr>
          <w:rStyle w:val="CommentReference"/>
        </w:rPr>
        <w:commentReference w:id="23"/>
      </w:r>
      <w:r w:rsidRPr="7A053939">
        <w:rPr>
          <w:rFonts w:ascii="Calibri" w:eastAsia="Times New Roman" w:hAnsi="Calibri" w:cs="Calibri"/>
          <w:sz w:val="22"/>
          <w:szCs w:val="22"/>
        </w:rPr>
        <w:t xml:space="preserve"> to </w:t>
      </w:r>
      <w:commentRangeStart w:id="24"/>
      <w:r w:rsidRPr="7A053939">
        <w:rPr>
          <w:rFonts w:ascii="Calibri" w:eastAsia="Times New Roman" w:hAnsi="Calibri" w:cs="Calibri"/>
          <w:sz w:val="22"/>
          <w:szCs w:val="22"/>
        </w:rPr>
        <w:t>OCI</w:t>
      </w:r>
      <w:commentRangeEnd w:id="24"/>
      <w:r>
        <w:rPr>
          <w:rStyle w:val="CommentReference"/>
        </w:rPr>
        <w:commentReference w:id="24"/>
      </w:r>
      <w:r w:rsidRPr="7A053939">
        <w:rPr>
          <w:rFonts w:ascii="Calibri" w:eastAsia="Times New Roman" w:hAnsi="Calibri" w:cs="Calibri"/>
          <w:sz w:val="22"/>
          <w:szCs w:val="22"/>
        </w:rPr>
        <w:t>, while continuing to operate its trading systems on its existing infrastructure. This hybrid approach ensures resiliency, speed, and regulatory alignment.</w:t>
      </w:r>
    </w:p>
    <w:p w14:paraId="2B038FD6" w14:textId="77777777" w:rsidR="00C4026D" w:rsidRPr="00BE06B8" w:rsidRDefault="00C4026D" w:rsidP="00C4026D"/>
    <w:p w14:paraId="2DECB817" w14:textId="77777777" w:rsidR="00C4026D" w:rsidRDefault="00F00769" w:rsidP="00C4026D">
      <w:pPr>
        <w:pStyle w:val="ListParagraph"/>
        <w:numPr>
          <w:ilvl w:val="0"/>
          <w:numId w:val="7"/>
        </w:numPr>
      </w:pPr>
      <w:r w:rsidRPr="00C4026D">
        <w:rPr>
          <w:rFonts w:ascii="Calibri" w:eastAsia="Times New Roman" w:hAnsi="Calibri" w:cs="Calibri"/>
          <w:b/>
          <w:bCs/>
          <w:sz w:val="22"/>
          <w:szCs w:val="22"/>
        </w:rPr>
        <w:t>What’s next in the partnership?</w:t>
      </w:r>
    </w:p>
    <w:p w14:paraId="1007B290" w14:textId="6A7BAD48" w:rsidR="00F00769" w:rsidRPr="00BE06B8" w:rsidRDefault="00AD72F2" w:rsidP="00C4026D">
      <w:pPr>
        <w:pStyle w:val="ListParagraph"/>
        <w:numPr>
          <w:ilvl w:val="0"/>
          <w:numId w:val="27"/>
        </w:numPr>
      </w:pPr>
      <w:r>
        <w:rPr>
          <w:rFonts w:ascii="Calibri" w:eastAsia="Times New Roman" w:hAnsi="Calibri" w:cs="Calibri"/>
          <w:sz w:val="22"/>
          <w:szCs w:val="22"/>
        </w:rPr>
        <w:t>Example</w:t>
      </w:r>
      <w:r w:rsidR="00F00769" w:rsidRPr="00C4026D">
        <w:rPr>
          <w:rFonts w:ascii="Calibri" w:eastAsia="Times New Roman" w:hAnsi="Calibri" w:cs="Calibri"/>
          <w:sz w:val="22"/>
          <w:szCs w:val="22"/>
        </w:rPr>
        <w:t xml:space="preserve"> and Oracle will expand their collaboration at </w:t>
      </w:r>
      <w:commentRangeStart w:id="25"/>
      <w:r w:rsidR="00F00769" w:rsidRPr="00C4026D">
        <w:rPr>
          <w:rFonts w:ascii="Calibri" w:eastAsia="Times New Roman" w:hAnsi="Calibri" w:cs="Calibri"/>
          <w:sz w:val="22"/>
          <w:szCs w:val="22"/>
        </w:rPr>
        <w:t>[Insert Upcoming Event</w:t>
      </w:r>
      <w:r w:rsidR="00F00769" w:rsidRPr="7DB99928">
        <w:rPr>
          <w:rFonts w:ascii="Calibri" w:eastAsia="Times New Roman" w:hAnsi="Calibri" w:cs="Calibri"/>
          <w:sz w:val="22"/>
          <w:szCs w:val="22"/>
        </w:rPr>
        <w:t>]</w:t>
      </w:r>
      <w:commentRangeEnd w:id="25"/>
      <w:r w:rsidR="00F00769">
        <w:rPr>
          <w:rStyle w:val="CommentReference"/>
        </w:rPr>
        <w:commentReference w:id="25"/>
      </w:r>
      <w:r w:rsidR="00F00769" w:rsidRPr="7DB99928">
        <w:rPr>
          <w:rFonts w:ascii="Calibri" w:eastAsia="Times New Roman" w:hAnsi="Calibri" w:cs="Calibri"/>
          <w:sz w:val="22"/>
          <w:szCs w:val="22"/>
        </w:rPr>
        <w:t>,</w:t>
      </w:r>
      <w:r w:rsidR="00F00769" w:rsidRPr="00C4026D">
        <w:rPr>
          <w:rFonts w:ascii="Calibri" w:eastAsia="Times New Roman" w:hAnsi="Calibri" w:cs="Calibri"/>
          <w:sz w:val="22"/>
          <w:szCs w:val="22"/>
        </w:rPr>
        <w:t xml:space="preserve"> where they will showcase the next wave of compliance-driven innovation in fintech.</w:t>
      </w:r>
    </w:p>
    <w:p w14:paraId="78371214" w14:textId="29F2DF34" w:rsidR="00AC61FE" w:rsidRDefault="00AC61FE" w:rsidP="25F01714"/>
    <w:p w14:paraId="5AFB4750" w14:textId="3101F09B" w:rsidR="003A5F1B" w:rsidRDefault="02C83F36" w:rsidP="003A5F1B">
      <w:pPr>
        <w:pStyle w:val="Heading2"/>
      </w:pPr>
      <w:r>
        <w:t>Internal (Oracle) Questions</w:t>
      </w:r>
    </w:p>
    <w:p w14:paraId="43DCDF45" w14:textId="7410DA50" w:rsidR="00A272EF" w:rsidRPr="00A272EF" w:rsidRDefault="00623D56" w:rsidP="00A272EF">
      <w:pPr>
        <w:pStyle w:val="ListParagraph"/>
        <w:numPr>
          <w:ilvl w:val="0"/>
          <w:numId w:val="28"/>
        </w:numPr>
      </w:pPr>
      <w:commentRangeStart w:id="26"/>
      <w:r w:rsidRPr="7A053939">
        <w:rPr>
          <w:rFonts w:ascii="Calibri" w:eastAsia="Times New Roman" w:hAnsi="Calibri" w:cs="Calibri"/>
          <w:b/>
          <w:bCs/>
          <w:sz w:val="22"/>
          <w:szCs w:val="22"/>
        </w:rPr>
        <w:t xml:space="preserve">Which regulatory frameworks are most critical for </w:t>
      </w:r>
      <w:r w:rsidR="00AD72F2">
        <w:rPr>
          <w:rFonts w:ascii="Calibri" w:eastAsia="Times New Roman" w:hAnsi="Calibri" w:cs="Calibri"/>
          <w:b/>
          <w:bCs/>
          <w:sz w:val="22"/>
          <w:szCs w:val="22"/>
        </w:rPr>
        <w:t>Example</w:t>
      </w:r>
      <w:r w:rsidRPr="7A053939">
        <w:rPr>
          <w:rFonts w:ascii="Calibri" w:eastAsia="Times New Roman" w:hAnsi="Calibri" w:cs="Calibri"/>
          <w:b/>
          <w:bCs/>
          <w:sz w:val="22"/>
          <w:szCs w:val="22"/>
        </w:rPr>
        <w:t xml:space="preserve"> (SEC, FINRA, GDPR, </w:t>
      </w:r>
      <w:proofErr w:type="spellStart"/>
      <w:r w:rsidRPr="7A053939">
        <w:rPr>
          <w:rFonts w:ascii="Calibri" w:eastAsia="Times New Roman" w:hAnsi="Calibri" w:cs="Calibri"/>
          <w:b/>
          <w:bCs/>
          <w:sz w:val="22"/>
          <w:szCs w:val="22"/>
        </w:rPr>
        <w:t>MiCA</w:t>
      </w:r>
      <w:proofErr w:type="spellEnd"/>
      <w:r w:rsidRPr="7A053939">
        <w:rPr>
          <w:rFonts w:ascii="Calibri" w:eastAsia="Times New Roman" w:hAnsi="Calibri" w:cs="Calibri"/>
          <w:b/>
          <w:bCs/>
          <w:sz w:val="22"/>
          <w:szCs w:val="22"/>
        </w:rPr>
        <w:t>, etc.) and how often do you undergo regulatory audits, and what reporting do you need OCI to support</w:t>
      </w:r>
      <w:commentRangeEnd w:id="26"/>
      <w:r>
        <w:rPr>
          <w:rStyle w:val="CommentReference"/>
        </w:rPr>
        <w:commentReference w:id="26"/>
      </w:r>
      <w:r w:rsidR="00A272EF" w:rsidRPr="7A053939">
        <w:rPr>
          <w:rFonts w:ascii="Calibri" w:eastAsia="Times New Roman" w:hAnsi="Calibri" w:cs="Calibri"/>
          <w:b/>
          <w:bCs/>
          <w:sz w:val="22"/>
          <w:szCs w:val="22"/>
        </w:rPr>
        <w:t>?</w:t>
      </w:r>
    </w:p>
    <w:p w14:paraId="6F7A8280" w14:textId="5D6DDD7C" w:rsidR="00623D56" w:rsidRPr="00AF5647" w:rsidRDefault="00AD72F2">
      <w:pPr>
        <w:pStyle w:val="ListParagraph"/>
        <w:numPr>
          <w:ilvl w:val="0"/>
          <w:numId w:val="27"/>
        </w:numPr>
        <w:rPr>
          <w:rFonts w:ascii="Calibri" w:eastAsia="Times New Roman" w:hAnsi="Calibri" w:cs="Calibri"/>
          <w:b/>
          <w:bCs/>
          <w:sz w:val="22"/>
          <w:szCs w:val="22"/>
        </w:rPr>
      </w:pPr>
      <w:r>
        <w:rPr>
          <w:rFonts w:ascii="Calibri" w:eastAsia="Times New Roman" w:hAnsi="Calibri" w:cs="Calibri"/>
          <w:sz w:val="22"/>
          <w:szCs w:val="22"/>
        </w:rPr>
        <w:t>Example</w:t>
      </w:r>
      <w:r w:rsidR="00623D56" w:rsidRPr="00623D56">
        <w:rPr>
          <w:rFonts w:ascii="Calibri" w:eastAsia="Times New Roman" w:hAnsi="Calibri" w:cs="Calibri"/>
          <w:sz w:val="22"/>
          <w:szCs w:val="22"/>
        </w:rPr>
        <w:t xml:space="preserve"> undergoes annual FINRA and SOC audits and periodic SEC examinations. OCI must support secure audit logging, data retention (SEC </w:t>
      </w:r>
      <w:proofErr w:type="spellStart"/>
      <w:r w:rsidR="00623D56" w:rsidRPr="00623D56">
        <w:rPr>
          <w:rFonts w:ascii="Calibri" w:eastAsia="Times New Roman" w:hAnsi="Calibri" w:cs="Calibri"/>
          <w:sz w:val="22"/>
          <w:szCs w:val="22"/>
        </w:rPr>
        <w:t>17a</w:t>
      </w:r>
      <w:proofErr w:type="spellEnd"/>
      <w:r w:rsidR="00623D56" w:rsidRPr="00623D56">
        <w:rPr>
          <w:rFonts w:ascii="Calibri" w:eastAsia="Times New Roman" w:hAnsi="Calibri" w:cs="Calibri"/>
          <w:sz w:val="22"/>
          <w:szCs w:val="22"/>
        </w:rPr>
        <w:t>-4), encryption, and compliance reporting through its Audit, Object Storage, and KMS services to meet these regulatory needs.</w:t>
      </w:r>
    </w:p>
    <w:p w14:paraId="48B2B914" w14:textId="77777777" w:rsidR="00AF5647" w:rsidRPr="00623D56" w:rsidRDefault="00AF5647" w:rsidP="00AF5647">
      <w:pPr>
        <w:pStyle w:val="ListParagraph"/>
        <w:ind w:left="1440"/>
        <w:rPr>
          <w:rFonts w:ascii="Calibri" w:eastAsia="Times New Roman" w:hAnsi="Calibri" w:cs="Calibri"/>
          <w:b/>
          <w:bCs/>
          <w:sz w:val="22"/>
          <w:szCs w:val="22"/>
        </w:rPr>
      </w:pPr>
    </w:p>
    <w:p w14:paraId="3A1B5F73" w14:textId="7D7B4D0D" w:rsidR="00AF5647" w:rsidRPr="00A272EF" w:rsidRDefault="00AF5647" w:rsidP="00AF5647">
      <w:pPr>
        <w:pStyle w:val="ListParagraph"/>
        <w:numPr>
          <w:ilvl w:val="0"/>
          <w:numId w:val="28"/>
        </w:numPr>
      </w:pPr>
      <w:r w:rsidRPr="00200CC3">
        <w:rPr>
          <w:rFonts w:ascii="Calibri" w:eastAsia="Times New Roman" w:hAnsi="Calibri" w:cs="Calibri"/>
          <w:b/>
          <w:bCs/>
          <w:sz w:val="22"/>
          <w:szCs w:val="22"/>
        </w:rPr>
        <w:t xml:space="preserve">What dedicated </w:t>
      </w:r>
      <w:r w:rsidR="00AD72F2">
        <w:rPr>
          <w:rFonts w:ascii="Calibri" w:eastAsia="Times New Roman" w:hAnsi="Calibri" w:cs="Calibri"/>
          <w:b/>
          <w:bCs/>
          <w:sz w:val="22"/>
          <w:szCs w:val="22"/>
        </w:rPr>
        <w:t>Example</w:t>
      </w:r>
      <w:r w:rsidRPr="00200CC3">
        <w:rPr>
          <w:rFonts w:ascii="Calibri" w:eastAsia="Times New Roman" w:hAnsi="Calibri" w:cs="Calibri"/>
          <w:b/>
          <w:bCs/>
          <w:sz w:val="22"/>
          <w:szCs w:val="22"/>
        </w:rPr>
        <w:t xml:space="preserve"> resources (engineering, security, ops) will be allocated to the OCI migration, and do you require Oracle engineers onsite/embedded with your teams during migration?</w:t>
      </w:r>
    </w:p>
    <w:p w14:paraId="4729A3B5" w14:textId="284C939B" w:rsidR="00AF5647" w:rsidRPr="00341933" w:rsidRDefault="00AD72F2" w:rsidP="00AF5647">
      <w:pPr>
        <w:pStyle w:val="ListParagraph"/>
        <w:numPr>
          <w:ilvl w:val="0"/>
          <w:numId w:val="27"/>
        </w:numPr>
        <w:rPr>
          <w:rFonts w:ascii="Calibri" w:eastAsia="Times New Roman" w:hAnsi="Calibri" w:cs="Calibri"/>
          <w:sz w:val="22"/>
          <w:szCs w:val="22"/>
        </w:rPr>
      </w:pPr>
      <w:r>
        <w:rPr>
          <w:rFonts w:ascii="Calibri" w:eastAsia="Times New Roman" w:hAnsi="Calibri" w:cs="Calibri"/>
          <w:sz w:val="22"/>
          <w:szCs w:val="22"/>
        </w:rPr>
        <w:t>Example</w:t>
      </w:r>
      <w:r w:rsidR="00341933">
        <w:rPr>
          <w:rFonts w:ascii="Calibri" w:eastAsia="Times New Roman" w:hAnsi="Calibri" w:cs="Calibri"/>
          <w:sz w:val="22"/>
          <w:szCs w:val="22"/>
        </w:rPr>
        <w:t xml:space="preserve"> </w:t>
      </w:r>
      <w:r w:rsidR="00341933" w:rsidRPr="00341933">
        <w:rPr>
          <w:rFonts w:ascii="Calibri" w:eastAsia="Times New Roman" w:hAnsi="Calibri" w:cs="Calibri"/>
          <w:sz w:val="22"/>
          <w:szCs w:val="22"/>
        </w:rPr>
        <w:t>will allocate dedicated engineering, security, and operations teams for the OCI migration and would prefer Oracle engineers to be embedded during critical migration phases for seamless execution</w:t>
      </w:r>
      <w:r w:rsidR="00AF5647" w:rsidRPr="00623D56">
        <w:rPr>
          <w:rFonts w:ascii="Calibri" w:eastAsia="Times New Roman" w:hAnsi="Calibri" w:cs="Calibri"/>
          <w:sz w:val="22"/>
          <w:szCs w:val="22"/>
        </w:rPr>
        <w:t>.</w:t>
      </w:r>
    </w:p>
    <w:p w14:paraId="3A28BB05" w14:textId="77777777" w:rsidR="00AF5647" w:rsidRPr="00623D56" w:rsidRDefault="00AF5647" w:rsidP="00AF5647">
      <w:pPr>
        <w:pStyle w:val="ListParagraph"/>
        <w:ind w:left="1440"/>
        <w:rPr>
          <w:rFonts w:ascii="Calibri" w:eastAsia="Times New Roman" w:hAnsi="Calibri" w:cs="Calibri"/>
          <w:b/>
          <w:bCs/>
          <w:sz w:val="22"/>
          <w:szCs w:val="22"/>
        </w:rPr>
      </w:pPr>
    </w:p>
    <w:p w14:paraId="7FBD390B" w14:textId="2BEEB0ED" w:rsidR="00AF5647" w:rsidRPr="00A272EF" w:rsidRDefault="00AF5647" w:rsidP="00AF5647">
      <w:pPr>
        <w:pStyle w:val="ListParagraph"/>
        <w:numPr>
          <w:ilvl w:val="0"/>
          <w:numId w:val="28"/>
        </w:numPr>
      </w:pPr>
      <w:r w:rsidRPr="00C761D6">
        <w:rPr>
          <w:rFonts w:ascii="Calibri" w:eastAsia="Times New Roman" w:hAnsi="Calibri" w:cs="Calibri"/>
          <w:b/>
          <w:bCs/>
          <w:sz w:val="22"/>
          <w:szCs w:val="22"/>
        </w:rPr>
        <w:t xml:space="preserve">What is </w:t>
      </w:r>
      <w:r w:rsidR="00AD72F2">
        <w:rPr>
          <w:rFonts w:ascii="Calibri" w:eastAsia="Times New Roman" w:hAnsi="Calibri" w:cs="Calibri"/>
          <w:b/>
          <w:bCs/>
          <w:sz w:val="22"/>
          <w:szCs w:val="22"/>
        </w:rPr>
        <w:t>Example</w:t>
      </w:r>
      <w:r w:rsidRPr="00C761D6">
        <w:rPr>
          <w:rFonts w:ascii="Calibri" w:eastAsia="Times New Roman" w:hAnsi="Calibri" w:cs="Calibri"/>
          <w:b/>
          <w:bCs/>
          <w:sz w:val="22"/>
          <w:szCs w:val="22"/>
        </w:rPr>
        <w:t>’s migration timeline (phased vs. big bang) and what are the scaling expectations (e.g., doubling user base in X years)?</w:t>
      </w:r>
    </w:p>
    <w:p w14:paraId="194269D0" w14:textId="2E2E15C7" w:rsidR="00AF5647" w:rsidRPr="00DC0980" w:rsidRDefault="00AD72F2" w:rsidP="00AF5647">
      <w:pPr>
        <w:pStyle w:val="ListParagraph"/>
        <w:numPr>
          <w:ilvl w:val="0"/>
          <w:numId w:val="27"/>
        </w:numPr>
        <w:rPr>
          <w:rFonts w:ascii="Calibri" w:eastAsia="Times New Roman" w:hAnsi="Calibri" w:cs="Calibri"/>
          <w:sz w:val="22"/>
          <w:szCs w:val="22"/>
        </w:rPr>
      </w:pPr>
      <w:r>
        <w:rPr>
          <w:rFonts w:ascii="Calibri" w:eastAsia="Times New Roman" w:hAnsi="Calibri" w:cs="Calibri"/>
          <w:sz w:val="22"/>
          <w:szCs w:val="22"/>
        </w:rPr>
        <w:t>Example</w:t>
      </w:r>
      <w:r w:rsidR="00AF5647" w:rsidRPr="00623D56">
        <w:rPr>
          <w:rFonts w:ascii="Calibri" w:eastAsia="Times New Roman" w:hAnsi="Calibri" w:cs="Calibri"/>
          <w:sz w:val="22"/>
          <w:szCs w:val="22"/>
        </w:rPr>
        <w:t xml:space="preserve"> </w:t>
      </w:r>
      <w:r w:rsidR="00DC0980" w:rsidRPr="00DC0980">
        <w:rPr>
          <w:rFonts w:ascii="Calibri" w:eastAsia="Times New Roman" w:hAnsi="Calibri" w:cs="Calibri"/>
          <w:sz w:val="22"/>
          <w:szCs w:val="22"/>
        </w:rPr>
        <w:t xml:space="preserve">would adopt a phased migration to OCI, prioritizing critical </w:t>
      </w:r>
      <w:r w:rsidR="00B73BCF">
        <w:rPr>
          <w:rFonts w:ascii="Calibri" w:eastAsia="Times New Roman" w:hAnsi="Calibri" w:cs="Calibri"/>
          <w:sz w:val="22"/>
          <w:szCs w:val="22"/>
        </w:rPr>
        <w:t xml:space="preserve">compliance &amp; regulatory </w:t>
      </w:r>
      <w:r w:rsidR="00DC0980" w:rsidRPr="00DC0980">
        <w:rPr>
          <w:rFonts w:ascii="Calibri" w:eastAsia="Times New Roman" w:hAnsi="Calibri" w:cs="Calibri"/>
          <w:sz w:val="22"/>
          <w:szCs w:val="22"/>
        </w:rPr>
        <w:t>workloads first, with infrastructure designed to scale seamlessly to support a potential doubling of its user base within 2–3 years.</w:t>
      </w:r>
    </w:p>
    <w:p w14:paraId="0E0C9547" w14:textId="77777777" w:rsidR="000E0A42" w:rsidRPr="00623D56" w:rsidRDefault="000E0A42" w:rsidP="000E0A42">
      <w:pPr>
        <w:pStyle w:val="ListParagraph"/>
        <w:ind w:left="1440"/>
        <w:rPr>
          <w:rFonts w:ascii="Calibri" w:eastAsia="Times New Roman" w:hAnsi="Calibri" w:cs="Calibri"/>
          <w:b/>
          <w:bCs/>
          <w:sz w:val="22"/>
          <w:szCs w:val="22"/>
        </w:rPr>
      </w:pPr>
    </w:p>
    <w:p w14:paraId="69D4BDD4" w14:textId="48A91855" w:rsidR="000E0A42" w:rsidRPr="00A272EF" w:rsidRDefault="000E0A42" w:rsidP="000E0A42">
      <w:pPr>
        <w:pStyle w:val="ListParagraph"/>
        <w:numPr>
          <w:ilvl w:val="0"/>
          <w:numId w:val="28"/>
        </w:numPr>
      </w:pPr>
      <w:r w:rsidRPr="00C761D6">
        <w:rPr>
          <w:rFonts w:ascii="Calibri" w:eastAsia="Times New Roman" w:hAnsi="Calibri" w:cs="Calibri"/>
          <w:b/>
          <w:bCs/>
          <w:sz w:val="22"/>
          <w:szCs w:val="22"/>
        </w:rPr>
        <w:t>Beyond infrastructure, what role do you want Oracle to play—strategic partner, co-innovator, or primarily cloud provider?</w:t>
      </w:r>
    </w:p>
    <w:p w14:paraId="21835FFC" w14:textId="3F180210" w:rsidR="000E0A42" w:rsidRPr="00B73BCF" w:rsidRDefault="00AD72F2" w:rsidP="000E0A42">
      <w:pPr>
        <w:pStyle w:val="ListParagraph"/>
        <w:numPr>
          <w:ilvl w:val="0"/>
          <w:numId w:val="27"/>
        </w:numPr>
        <w:rPr>
          <w:rFonts w:ascii="Calibri" w:eastAsia="Times New Roman" w:hAnsi="Calibri" w:cs="Calibri"/>
          <w:sz w:val="22"/>
          <w:szCs w:val="22"/>
        </w:rPr>
      </w:pPr>
      <w:r>
        <w:rPr>
          <w:rFonts w:ascii="Calibri" w:eastAsia="Times New Roman" w:hAnsi="Calibri" w:cs="Calibri"/>
          <w:sz w:val="22"/>
          <w:szCs w:val="22"/>
        </w:rPr>
        <w:t>Example</w:t>
      </w:r>
      <w:r w:rsidR="000E0A42" w:rsidRPr="00623D56">
        <w:rPr>
          <w:rFonts w:ascii="Calibri" w:eastAsia="Times New Roman" w:hAnsi="Calibri" w:cs="Calibri"/>
          <w:sz w:val="22"/>
          <w:szCs w:val="22"/>
        </w:rPr>
        <w:t xml:space="preserve"> </w:t>
      </w:r>
      <w:r w:rsidR="00B73BCF" w:rsidRPr="00B73BCF">
        <w:rPr>
          <w:rFonts w:ascii="Calibri" w:eastAsia="Times New Roman" w:hAnsi="Calibri" w:cs="Calibri"/>
          <w:sz w:val="22"/>
          <w:szCs w:val="22"/>
        </w:rPr>
        <w:t>envisions Oracle as a strategic partner and co-innovator, collaborating beyond infrastructure to drive regulatory compliance, AI innovation, and platform scalability on OCI.</w:t>
      </w:r>
    </w:p>
    <w:p w14:paraId="40E15686" w14:textId="77777777" w:rsidR="003A5F1B" w:rsidRDefault="003A5F1B" w:rsidP="003A5F1B">
      <w:pPr>
        <w:spacing w:before="100" w:beforeAutospacing="1" w:after="120"/>
      </w:pPr>
    </w:p>
    <w:p w14:paraId="4FB3690D" w14:textId="77777777" w:rsidR="003A5F1B" w:rsidRDefault="003A5F1B" w:rsidP="003A5F1B">
      <w:pPr>
        <w:spacing w:before="100" w:beforeAutospacing="1" w:after="120"/>
      </w:pPr>
    </w:p>
    <w:commentRangeEnd w:id="0"/>
    <w:p w14:paraId="003E5DB9" w14:textId="77777777" w:rsidR="003A5F1B" w:rsidRPr="00BA61B7" w:rsidRDefault="003A5F1B" w:rsidP="7A053939">
      <w:pPr>
        <w:spacing w:before="100" w:beforeAutospacing="1" w:after="120"/>
        <w:rPr>
          <w:rFonts w:ascii="Times New Roman" w:eastAsia="Times New Roman" w:hAnsi="Times New Roman" w:cs="Times New Roman"/>
        </w:rPr>
      </w:pPr>
      <w:r>
        <w:rPr>
          <w:rStyle w:val="CommentReference"/>
        </w:rPr>
        <w:commentReference w:id="0"/>
      </w:r>
    </w:p>
    <w:sectPr w:rsidR="003A5F1B" w:rsidRPr="00BA61B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Joseph Tilley" w:date="2025-10-07T13:26:00Z" w:initials="JT">
    <w:p w14:paraId="3FF8096C" w14:textId="6CE5C52D" w:rsidR="00570A6B" w:rsidRDefault="00570A6B">
      <w:pPr>
        <w:pStyle w:val="CommentText"/>
      </w:pPr>
      <w:r>
        <w:rPr>
          <w:rStyle w:val="CommentReference"/>
        </w:rPr>
        <w:annotationRef/>
      </w:r>
      <w:r w:rsidRPr="04EED0BB">
        <w:rPr>
          <w:b/>
          <w:bCs/>
        </w:rPr>
        <w:t>How OCI helps Robinhood win under today’s regs</w:t>
      </w:r>
    </w:p>
    <w:p w14:paraId="492A427F" w14:textId="6D627506" w:rsidR="00570A6B" w:rsidRDefault="00570A6B">
      <w:pPr>
        <w:pStyle w:val="CommentText"/>
      </w:pPr>
      <w:r w:rsidRPr="36E7E240">
        <w:t>Quick start plan (what to do in the next 60–90 days)</w:t>
      </w:r>
    </w:p>
    <w:p w14:paraId="18140105" w14:textId="0C042375" w:rsidR="00570A6B" w:rsidRDefault="00570A6B">
      <w:pPr>
        <w:pStyle w:val="CommentText"/>
      </w:pPr>
      <w:r w:rsidRPr="3D358DCA">
        <w:rPr>
          <w:b/>
          <w:bCs/>
        </w:rPr>
        <w:t>EU stance:</w:t>
      </w:r>
      <w:r w:rsidRPr="0EA88D89">
        <w:t xml:space="preserve"> Classify which data/flows must stay in the EU (MiCA/TFR/DORA) and place them in </w:t>
      </w:r>
      <w:r w:rsidRPr="55896174">
        <w:rPr>
          <w:b/>
          <w:bCs/>
        </w:rPr>
        <w:t>EU Sovereign Cloud</w:t>
      </w:r>
      <w:r w:rsidRPr="72C998DE">
        <w:t xml:space="preserve">; run latency-sensitive CASP services on </w:t>
      </w:r>
      <w:r w:rsidRPr="269B62E0">
        <w:rPr>
          <w:b/>
          <w:bCs/>
        </w:rPr>
        <w:t>Cloud@Customer</w:t>
      </w:r>
      <w:r w:rsidRPr="6E61620A">
        <w:t xml:space="preserve"> where needed. </w:t>
      </w:r>
      <w:hyperlink r:id="rId1">
        <w:r w:rsidRPr="2CB21DB3">
          <w:rPr>
            <w:rStyle w:val="Hyperlink"/>
          </w:rPr>
          <w:t>Oracle Docs+1</w:t>
        </w:r>
      </w:hyperlink>
    </w:p>
    <w:p w14:paraId="7ED338AD" w14:textId="207C9396" w:rsidR="00570A6B" w:rsidRDefault="00570A6B">
      <w:pPr>
        <w:pStyle w:val="CommentText"/>
      </w:pPr>
      <w:r w:rsidRPr="1641C9E7">
        <w:rPr>
          <w:b/>
          <w:bCs/>
        </w:rPr>
        <w:t>Execution transparency:</w:t>
      </w:r>
      <w:r w:rsidRPr="28E22C27">
        <w:t xml:space="preserve"> Stand up </w:t>
      </w:r>
      <w:r w:rsidRPr="3425383D">
        <w:rPr>
          <w:b/>
          <w:bCs/>
        </w:rPr>
        <w:t>Streaming + Analytics</w:t>
      </w:r>
      <w:r w:rsidRPr="2F6E7E30">
        <w:t xml:space="preserve"> to compute </w:t>
      </w:r>
      <w:r w:rsidRPr="6E50CD3E">
        <w:rPr>
          <w:b/>
          <w:bCs/>
        </w:rPr>
        <w:t>Rule 605</w:t>
      </w:r>
      <w:r w:rsidRPr="4DD50810">
        <w:t xml:space="preserve"> metrics and publish best-ex insights; write audits to </w:t>
      </w:r>
      <w:r w:rsidRPr="01DFB6A5">
        <w:rPr>
          <w:b/>
          <w:bCs/>
        </w:rPr>
        <w:t>Blockchain/Immutable Tables</w:t>
      </w:r>
      <w:r w:rsidRPr="2CF4D704">
        <w:t xml:space="preserve">. </w:t>
      </w:r>
      <w:hyperlink r:id="rId2">
        <w:r w:rsidRPr="3BF3D33B">
          <w:rPr>
            <w:rStyle w:val="Hyperlink"/>
          </w:rPr>
          <w:t>Securities and Exchange Commission+1</w:t>
        </w:r>
      </w:hyperlink>
    </w:p>
    <w:p w14:paraId="49E9C245" w14:textId="05DAE507" w:rsidR="00570A6B" w:rsidRDefault="00570A6B">
      <w:pPr>
        <w:pStyle w:val="CommentText"/>
      </w:pPr>
      <w:r w:rsidRPr="6004EFB6">
        <w:rPr>
          <w:b/>
          <w:bCs/>
        </w:rPr>
        <w:t>T+1 ops hardening:</w:t>
      </w:r>
      <w:r w:rsidRPr="64DD4B33">
        <w:t xml:space="preserve"> Wire </w:t>
      </w:r>
      <w:r w:rsidRPr="1C8518ED">
        <w:rPr>
          <w:b/>
          <w:bCs/>
        </w:rPr>
        <w:t>FastConnect</w:t>
      </w:r>
      <w:r w:rsidRPr="45D457EF">
        <w:t xml:space="preserve"> between colos and OCI data zones to stabilize batch windows and reduce egress costs. </w:t>
      </w:r>
      <w:hyperlink r:id="rId3">
        <w:r w:rsidRPr="4BBC6CC0">
          <w:rPr>
            <w:rStyle w:val="Hyperlink"/>
          </w:rPr>
          <w:t>Oracle</w:t>
        </w:r>
      </w:hyperlink>
    </w:p>
    <w:p w14:paraId="32CAA3FB" w14:textId="08C962A5" w:rsidR="00570A6B" w:rsidRDefault="00570A6B">
      <w:pPr>
        <w:pStyle w:val="CommentText"/>
      </w:pPr>
      <w:r w:rsidRPr="17414F6B">
        <w:rPr>
          <w:b/>
          <w:bCs/>
        </w:rPr>
        <w:t>AML/TFR program:</w:t>
      </w:r>
      <w:r w:rsidRPr="21135A40">
        <w:t xml:space="preserve"> Pilot </w:t>
      </w:r>
      <w:r w:rsidRPr="5D75EE99">
        <w:rPr>
          <w:b/>
          <w:bCs/>
        </w:rPr>
        <w:t>FCCM Cloud</w:t>
      </w:r>
      <w:r w:rsidRPr="182C5937">
        <w:t xml:space="preserve"> for Travel Rule data capture, sanctions screening, and crypto transaction monitoring integrated with Robinhood Crypto/Bitstamp rails. </w:t>
      </w:r>
      <w:hyperlink r:id="rId4">
        <w:r w:rsidRPr="35336C27">
          <w:rPr>
            <w:rStyle w:val="Hyperlink"/>
          </w:rPr>
          <w:t>Oracle</w:t>
        </w:r>
      </w:hyperlink>
    </w:p>
    <w:p w14:paraId="08F6057E" w14:textId="13B95B6F" w:rsidR="00570A6B" w:rsidRDefault="00570A6B">
      <w:pPr>
        <w:pStyle w:val="CommentText"/>
      </w:pPr>
      <w:r w:rsidRPr="7527443F">
        <w:rPr>
          <w:b/>
          <w:bCs/>
        </w:rPr>
        <w:t>Cyber disclosure readiness:</w:t>
      </w:r>
      <w:r w:rsidRPr="65321190">
        <w:t xml:space="preserve"> Map Cloud Guard findings to incident materiality runbooks so Legal/IR can meet SEC timelines. </w:t>
      </w:r>
      <w:hyperlink r:id="rId5">
        <w:r w:rsidRPr="2C7DEEC2">
          <w:rPr>
            <w:rStyle w:val="Hyperlink"/>
          </w:rPr>
          <w:t>Oracle</w:t>
        </w:r>
      </w:hyperlink>
    </w:p>
    <w:p w14:paraId="3415ADDF" w14:textId="0D8B9C7E" w:rsidR="00570A6B" w:rsidRDefault="00570A6B">
      <w:pPr>
        <w:pStyle w:val="CommentText"/>
      </w:pPr>
      <w:r w:rsidRPr="2A925887">
        <w:t>Sources (high-signal)</w:t>
      </w:r>
    </w:p>
    <w:p w14:paraId="4E1254C9" w14:textId="0C9E9728" w:rsidR="00570A6B" w:rsidRDefault="00570A6B">
      <w:pPr>
        <w:pStyle w:val="CommentText"/>
      </w:pPr>
      <w:r w:rsidRPr="3F92E5F2">
        <w:rPr>
          <w:b/>
          <w:bCs/>
        </w:rPr>
        <w:t>MiCA &amp; Travel Rule:</w:t>
      </w:r>
      <w:r w:rsidRPr="7966A5C8">
        <w:t xml:space="preserve"> ESMA/EBA/EUR-Lex on scope, dates, and guidelines. </w:t>
      </w:r>
      <w:hyperlink r:id="rId6">
        <w:r w:rsidRPr="3BE8DB56">
          <w:rPr>
            <w:rStyle w:val="Hyperlink"/>
          </w:rPr>
          <w:t>ESMA+2European Banking Authority+2</w:t>
        </w:r>
      </w:hyperlink>
    </w:p>
    <w:p w14:paraId="7572DD08" w14:textId="49CE9DE2" w:rsidR="00570A6B" w:rsidRDefault="00570A6B">
      <w:pPr>
        <w:pStyle w:val="CommentText"/>
      </w:pPr>
      <w:r w:rsidRPr="07351E23">
        <w:rPr>
          <w:b/>
          <w:bCs/>
        </w:rPr>
        <w:t>DORA:</w:t>
      </w:r>
      <w:r w:rsidRPr="2CB2E921">
        <w:t xml:space="preserve"> EIOPA overview; ESAs guide on third-party oversight (July 2025). </w:t>
      </w:r>
      <w:hyperlink r:id="rId7">
        <w:r w:rsidRPr="6758C84D">
          <w:rPr>
            <w:rStyle w:val="Hyperlink"/>
          </w:rPr>
          <w:t>EIOPA+1</w:t>
        </w:r>
      </w:hyperlink>
    </w:p>
    <w:p w14:paraId="41A96884" w14:textId="5539C00C" w:rsidR="00570A6B" w:rsidRDefault="00570A6B">
      <w:pPr>
        <w:pStyle w:val="CommentText"/>
      </w:pPr>
      <w:r w:rsidRPr="5AFF36E0">
        <w:rPr>
          <w:b/>
          <w:bCs/>
        </w:rPr>
        <w:t>T+1 &amp; execution disclosure:</w:t>
      </w:r>
      <w:r w:rsidRPr="1ADA7752">
        <w:t xml:space="preserve"> SEC FAQs/press and Rule 605 amendments. </w:t>
      </w:r>
      <w:hyperlink r:id="rId8">
        <w:r w:rsidRPr="76675AB0">
          <w:rPr>
            <w:rStyle w:val="Hyperlink"/>
          </w:rPr>
          <w:t>Securities and Exchange Commission+1</w:t>
        </w:r>
      </w:hyperlink>
    </w:p>
    <w:p w14:paraId="0DF13B6B" w14:textId="17022EB6" w:rsidR="00570A6B" w:rsidRDefault="00570A6B">
      <w:pPr>
        <w:pStyle w:val="CommentText"/>
      </w:pPr>
      <w:r w:rsidRPr="50A2B803">
        <w:rPr>
          <w:b/>
          <w:bCs/>
        </w:rPr>
        <w:t>FCA Consumer Duty:</w:t>
      </w:r>
      <w:r w:rsidRPr="4ADBAA91">
        <w:t xml:space="preserve"> FCA summaries and 2025/26 focus. </w:t>
      </w:r>
      <w:hyperlink r:id="rId9">
        <w:r w:rsidRPr="2DC34F66">
          <w:rPr>
            <w:rStyle w:val="Hyperlink"/>
          </w:rPr>
          <w:t>FCA+1</w:t>
        </w:r>
      </w:hyperlink>
    </w:p>
    <w:p w14:paraId="0C6086D1" w14:textId="22E62A6B" w:rsidR="00570A6B" w:rsidRDefault="00570A6B">
      <w:pPr>
        <w:pStyle w:val="CommentText"/>
      </w:pPr>
      <w:r w:rsidRPr="40D061D9">
        <w:rPr>
          <w:b/>
          <w:bCs/>
        </w:rPr>
        <w:t>SEC cyber disclosure:</w:t>
      </w:r>
      <w:r w:rsidRPr="5CBA029E">
        <w:t xml:space="preserve"> SEC press &amp; Division guidance on 4-day 8-K. </w:t>
      </w:r>
      <w:hyperlink r:id="rId10">
        <w:r w:rsidRPr="45520FA7">
          <w:rPr>
            <w:rStyle w:val="Hyperlink"/>
          </w:rPr>
          <w:t>Securities and Exchange Commission+1</w:t>
        </w:r>
      </w:hyperlink>
    </w:p>
    <w:p w14:paraId="102EF868" w14:textId="678DC3F5" w:rsidR="00570A6B" w:rsidRDefault="00570A6B">
      <w:pPr>
        <w:pStyle w:val="CommentText"/>
      </w:pPr>
      <w:r w:rsidRPr="305E5C67">
        <w:rPr>
          <w:b/>
          <w:bCs/>
        </w:rPr>
        <w:t>PCI DSS:</w:t>
      </w:r>
      <w:r w:rsidRPr="58AA4923">
        <w:t xml:space="preserve"> PCI SSC on v4.0.1 &amp; March 31, 2025 future-dated requirements. </w:t>
      </w:r>
      <w:hyperlink r:id="rId11">
        <w:r w:rsidRPr="176E992A">
          <w:rPr>
            <w:rStyle w:val="Hyperlink"/>
          </w:rPr>
          <w:t>PCI Perspectives+1</w:t>
        </w:r>
      </w:hyperlink>
    </w:p>
    <w:p w14:paraId="556F3624" w14:textId="118B0FF4" w:rsidR="00570A6B" w:rsidRDefault="00570A6B">
      <w:pPr>
        <w:pStyle w:val="CommentText"/>
      </w:pPr>
      <w:r w:rsidRPr="7E916C0F">
        <w:rPr>
          <w:b/>
          <w:bCs/>
        </w:rPr>
        <w:t>OCI capabilities:</w:t>
      </w:r>
      <w:r w:rsidRPr="4DB3BA12">
        <w:t xml:space="preserve"> EU Sovereign Cloud, Cloud@Customer, FastConnect pricing, Cloud Guard, DB Blockchain/Immutable Tables. </w:t>
      </w:r>
      <w:hyperlink r:id="rId12">
        <w:r w:rsidRPr="3ABBDB36">
          <w:rPr>
            <w:rStyle w:val="Hyperlink"/>
          </w:rPr>
          <w:t>Oracle Docs+4Oracle Docs+4Oracle Cloud Infrastructure+4</w:t>
        </w:r>
      </w:hyperlink>
    </w:p>
    <w:p w14:paraId="272C0C50" w14:textId="40F2569D" w:rsidR="00570A6B" w:rsidRDefault="00570A6B">
      <w:pPr>
        <w:pStyle w:val="CommentText"/>
      </w:pPr>
    </w:p>
  </w:comment>
  <w:comment w:id="2" w:author="Ahmad Khalaf" w:date="2025-10-07T13:08:00Z" w:initials="AK">
    <w:p w14:paraId="4E782AFB" w14:textId="1E2DF5BD" w:rsidR="004D6F3C" w:rsidRDefault="004D6F3C">
      <w:pPr>
        <w:pStyle w:val="CommentText"/>
      </w:pPr>
      <w:r>
        <w:rPr>
          <w:rStyle w:val="CommentReference"/>
        </w:rPr>
        <w:annotationRef/>
      </w:r>
      <w:r w:rsidRPr="65179B75">
        <w:t>if it's powered by AI should we mention more about it in the summary above? there was no mention of AI before</w:t>
      </w:r>
    </w:p>
  </w:comment>
  <w:comment w:id="3" w:author="Ross Sharrott" w:date="2025-10-07T16:05:00Z" w:initials="RS">
    <w:p w14:paraId="523EAE93" w14:textId="5D0F9547" w:rsidR="003A5553" w:rsidRDefault="003A5553">
      <w:pPr>
        <w:pStyle w:val="CommentText"/>
      </w:pPr>
      <w:r>
        <w:rPr>
          <w:rStyle w:val="CommentReference"/>
        </w:rPr>
        <w:annotationRef/>
      </w:r>
      <w:r w:rsidRPr="4FF5E67B">
        <w:t>All of these things sound true, but it's not clear to me what Robinhood's true problem is.</w:t>
      </w:r>
    </w:p>
  </w:comment>
  <w:comment w:id="4" w:author="Rohit Nabh" w:date="2025-10-07T15:44:00Z" w:initials="RN">
    <w:p w14:paraId="4730F931" w14:textId="7139E8C1" w:rsidR="00570A6B" w:rsidRDefault="00570A6B">
      <w:pPr>
        <w:pStyle w:val="CommentText"/>
      </w:pPr>
      <w:r>
        <w:rPr>
          <w:rStyle w:val="CommentReference"/>
        </w:rPr>
        <w:annotationRef/>
      </w:r>
      <w:r>
        <w:fldChar w:fldCharType="begin"/>
      </w:r>
      <w:r>
        <w:instrText xml:space="preserve"> HYPERLINK "mailto:ross.sharrott@oracle.com"</w:instrText>
      </w:r>
      <w:bookmarkStart w:id="7" w:name="_@_1BED0AFDCCEF4C0EA26760DA2BCFB46DZ"/>
      <w:r>
        <w:fldChar w:fldCharType="separate"/>
      </w:r>
      <w:bookmarkEnd w:id="7"/>
      <w:r w:rsidRPr="55F059F9">
        <w:rPr>
          <w:noProof/>
        </w:rPr>
        <w:t>@Ross Sharrott</w:t>
      </w:r>
      <w:r>
        <w:fldChar w:fldCharType="end"/>
      </w:r>
      <w:r w:rsidRPr="379CD4A8">
        <w:t xml:space="preserve"> : In the problem statement will add the about the kind of financial loss Robinhood is facing yearly facing due to failing these compliances  </w:t>
      </w:r>
    </w:p>
  </w:comment>
  <w:comment w:id="5" w:author="Prasanth Mangalasseril Prasad" w:date="2025-10-07T16:06:00Z" w:initials="PP">
    <w:p w14:paraId="22B7AD12" w14:textId="39E1CAB7" w:rsidR="00C94085" w:rsidRDefault="00C94085">
      <w:pPr>
        <w:pStyle w:val="CommentText"/>
      </w:pPr>
      <w:r>
        <w:rPr>
          <w:rStyle w:val="CommentReference"/>
        </w:rPr>
        <w:annotationRef/>
      </w:r>
      <w:r w:rsidRPr="4BB9B6E9">
        <w:t>Any specific issue that directly affects Robinhood's customer base?</w:t>
      </w:r>
    </w:p>
  </w:comment>
  <w:comment w:id="6" w:author="Rohit Nabh" w:date="2025-10-07T15:46:00Z" w:initials="RN">
    <w:p w14:paraId="5852989B" w14:textId="45E7DB7A" w:rsidR="00570A6B" w:rsidRDefault="00570A6B">
      <w:pPr>
        <w:pStyle w:val="CommentText"/>
      </w:pPr>
      <w:r>
        <w:rPr>
          <w:rStyle w:val="CommentReference"/>
        </w:rPr>
        <w:annotationRef/>
      </w:r>
      <w:r w:rsidRPr="21FE8CDC">
        <w:t>This compliance issue happening yearly will definitely affects customer trust.</w:t>
      </w:r>
    </w:p>
  </w:comment>
  <w:comment w:id="8" w:author="Joe Sheehan" w:date="2025-10-08T13:39:00Z" w:initials="JS">
    <w:p w14:paraId="0FF0B51F" w14:textId="1D2F3520" w:rsidR="001D4FDC" w:rsidRDefault="001D4FDC">
      <w:pPr>
        <w:pStyle w:val="CommentText"/>
      </w:pPr>
      <w:r>
        <w:rPr>
          <w:rStyle w:val="CommentReference"/>
        </w:rPr>
        <w:annotationRef/>
      </w:r>
      <w:r>
        <w:fldChar w:fldCharType="begin"/>
      </w:r>
      <w:r>
        <w:instrText xml:space="preserve"> HYPERLINK "mailto:rohit.nabh@oracle.com"</w:instrText>
      </w:r>
      <w:bookmarkStart w:id="9" w:name="_@_638D217E30294BE581534B7591C575E9Z"/>
      <w:r>
        <w:fldChar w:fldCharType="separate"/>
      </w:r>
      <w:bookmarkEnd w:id="9"/>
      <w:r w:rsidRPr="6F9F8B10">
        <w:rPr>
          <w:noProof/>
        </w:rPr>
        <w:t>@Rohit Nabh</w:t>
      </w:r>
      <w:r>
        <w:fldChar w:fldCharType="end"/>
      </w:r>
      <w:r w:rsidRPr="5590E7BE">
        <w:t xml:space="preserve">   Thoughts on this? </w:t>
      </w:r>
    </w:p>
    <w:p w14:paraId="2161428F" w14:textId="16295428" w:rsidR="001D4FDC" w:rsidRDefault="001D4FDC">
      <w:pPr>
        <w:pStyle w:val="CommentText"/>
      </w:pPr>
      <w:r w:rsidRPr="467D9398">
        <w:t xml:space="preserve">Financial services firms are under unprecedented pressure from regulatory and legal challenges, with constantly changing rules governing payment for order flow, best execution, cryptocurrency oversight, and capital adequacy. For Robinhood, which serves millions of retail investors, the stakes are especially high in ensuring that innovation is matched with regulatory accountability—especially after incurring over $100 million in compliance and regulatory fines last year. </w:t>
      </w:r>
    </w:p>
    <w:p w14:paraId="1C20719A" w14:textId="4850D0C2" w:rsidR="001D4FDC" w:rsidRDefault="001D4FDC">
      <w:pPr>
        <w:pStyle w:val="CommentText"/>
      </w:pPr>
    </w:p>
    <w:p w14:paraId="032560AE" w14:textId="73E8B130" w:rsidR="001D4FDC" w:rsidRDefault="001D4FDC">
      <w:pPr>
        <w:pStyle w:val="CommentText"/>
      </w:pPr>
      <w:r w:rsidRPr="53E9BBA6">
        <w:t xml:space="preserve">Solution Piece: </w:t>
      </w:r>
    </w:p>
    <w:p w14:paraId="2254AFDB" w14:textId="41E6BF25" w:rsidR="001D4FDC" w:rsidRDefault="001D4FDC">
      <w:pPr>
        <w:pStyle w:val="CommentText"/>
      </w:pPr>
      <w:r w:rsidRPr="7434F305">
        <w:t>By leveraging Oracle Cloud Infrastructure (OCI), Robinhood can strengthen its compliance posture through Sovereign Cloud, advanced data governance, real-time monitoring, and secure analytics. OCI’s integrated risk management capabilities and audit-ready infrastructure enable faster reporting, deeper regulatory visibility, and reduced compliance costs, helping to turn regulatory complexity into operational resilience and stronger growth. </w:t>
      </w:r>
    </w:p>
  </w:comment>
  <w:comment w:id="11" w:author="John Nogrady" w:date="2025-10-07T13:10:00Z" w:initials="JN">
    <w:p w14:paraId="10EB3C5D" w14:textId="77777777" w:rsidR="00427A66" w:rsidRDefault="00427A66" w:rsidP="00427A66">
      <w:r>
        <w:rPr>
          <w:rStyle w:val="CommentReference"/>
        </w:rPr>
        <w:annotationRef/>
      </w:r>
      <w:r>
        <w:rPr>
          <w:sz w:val="20"/>
          <w:szCs w:val="20"/>
        </w:rPr>
        <w:t>using any data platform...does that enhance security position?</w:t>
      </w:r>
    </w:p>
  </w:comment>
  <w:comment w:id="10" w:author="Prasanth Mangalasseril Prasad" w:date="2025-10-07T16:09:00Z" w:initials="PP">
    <w:p w14:paraId="1A281455" w14:textId="62BCF1A9" w:rsidR="00467743" w:rsidRDefault="00467743">
      <w:pPr>
        <w:pStyle w:val="CommentText"/>
      </w:pPr>
      <w:r>
        <w:rPr>
          <w:rStyle w:val="CommentReference"/>
        </w:rPr>
        <w:annotationRef/>
      </w:r>
      <w:r w:rsidRPr="789AE17C">
        <w:t>Could you please mention about the specific OCI service(s) that will solve the problem.</w:t>
      </w:r>
    </w:p>
  </w:comment>
  <w:comment w:id="12" w:author="Ross Sharrott" w:date="2025-10-07T16:07:00Z" w:initials="RS">
    <w:p w14:paraId="40DBE0CF" w14:textId="389EB0E6" w:rsidR="00C94085" w:rsidRDefault="00C94085">
      <w:pPr>
        <w:pStyle w:val="CommentText"/>
      </w:pPr>
      <w:r>
        <w:rPr>
          <w:rStyle w:val="CommentReference"/>
        </w:rPr>
        <w:annotationRef/>
      </w:r>
      <w:r w:rsidRPr="10BA5DBE">
        <w:t>what are you actually going to do? What system/service will you move or make available in new jursidictions?</w:t>
      </w:r>
    </w:p>
  </w:comment>
  <w:comment w:id="13" w:author="Rohit Nabh" w:date="2025-10-07T15:25:00Z" w:initials="RN">
    <w:p w14:paraId="03C620B3" w14:textId="0C89A37A" w:rsidR="00570A6B" w:rsidRDefault="00570A6B">
      <w:pPr>
        <w:pStyle w:val="CommentText"/>
      </w:pPr>
      <w:r>
        <w:rPr>
          <w:rStyle w:val="CommentReference"/>
        </w:rPr>
        <w:annotationRef/>
      </w:r>
      <w:r w:rsidRPr="2EB838A2">
        <w:t>Will add what OCI services going to help customer to build the Solution</w:t>
      </w:r>
    </w:p>
  </w:comment>
  <w:comment w:id="14" w:author="Ross Sharrott" w:date="2025-10-07T16:08:00Z" w:initials="RS">
    <w:p w14:paraId="69367703" w14:textId="53F61F0E" w:rsidR="00467743" w:rsidRDefault="00467743">
      <w:pPr>
        <w:pStyle w:val="CommentText"/>
      </w:pPr>
      <w:r>
        <w:rPr>
          <w:rStyle w:val="CommentReference"/>
        </w:rPr>
        <w:annotationRef/>
      </w:r>
      <w:r w:rsidRPr="2969D2A0">
        <w:t>Is this the key issue for them? Do we have some unique ability they don't have from their current CSP</w:t>
      </w:r>
    </w:p>
  </w:comment>
  <w:comment w:id="15" w:author="Viswa Mohanty" w:date="2025-10-07T13:12:00Z" w:initials="VM">
    <w:p w14:paraId="5CE26DA4" w14:textId="562BF321" w:rsidR="00570A6B" w:rsidRDefault="00570A6B">
      <w:pPr>
        <w:pStyle w:val="CommentText"/>
      </w:pPr>
      <w:r>
        <w:rPr>
          <w:rStyle w:val="CommentReference"/>
        </w:rPr>
        <w:annotationRef/>
      </w:r>
      <w:r w:rsidRPr="618A94CA">
        <w:t>Thoe focus seems to be completely on Compliance. Could we also speak to their "infrastructure scaling" issues? In at least one of the interviews, the CEO mentioned this as an issue/challenge.</w:t>
      </w:r>
    </w:p>
  </w:comment>
  <w:comment w:id="16" w:author="Rohit Nabh" w:date="2025-10-07T15:47:00Z" w:initials="RN">
    <w:p w14:paraId="678B6533" w14:textId="3AFBFE80" w:rsidR="00570A6B" w:rsidRDefault="00570A6B">
      <w:pPr>
        <w:pStyle w:val="CommentText"/>
      </w:pPr>
      <w:r>
        <w:rPr>
          <w:rStyle w:val="CommentReference"/>
        </w:rPr>
        <w:annotationRef/>
      </w:r>
      <w:r>
        <w:fldChar w:fldCharType="begin"/>
      </w:r>
      <w:r>
        <w:instrText xml:space="preserve"> HYPERLINK "mailto:viswa.mohanty@oracle.com"</w:instrText>
      </w:r>
      <w:bookmarkStart w:id="17" w:name="_@_3699837F6D2E4E60ACD1CED3FF77DA6FZ"/>
      <w:r>
        <w:fldChar w:fldCharType="separate"/>
      </w:r>
      <w:bookmarkEnd w:id="17"/>
      <w:r w:rsidRPr="26A60B59">
        <w:rPr>
          <w:noProof/>
        </w:rPr>
        <w:t>@Viswa Mohanty</w:t>
      </w:r>
      <w:r>
        <w:fldChar w:fldCharType="end"/>
      </w:r>
      <w:r w:rsidRPr="29863766">
        <w:t xml:space="preserve"> :Please share those links were Robinhood CEO is taking about issues with Infra scaling</w:t>
      </w:r>
    </w:p>
  </w:comment>
  <w:comment w:id="18" w:author="Matt Ferguson" w:date="2025-10-07T16:11:00Z" w:initials="MF">
    <w:p w14:paraId="154A65B1" w14:textId="4FA04752" w:rsidR="00570A6B" w:rsidRDefault="00570A6B">
      <w:pPr>
        <w:pStyle w:val="CommentText"/>
      </w:pPr>
      <w:r>
        <w:rPr>
          <w:rStyle w:val="CommentReference"/>
        </w:rPr>
        <w:annotationRef/>
      </w:r>
      <w:r w:rsidRPr="210BCB80">
        <w:t>If these are the solutions, how was the customer solving prior to OCI?</w:t>
      </w:r>
    </w:p>
  </w:comment>
  <w:comment w:id="19" w:author="Rohit Nabh" w:date="2025-10-07T15:50:00Z" w:initials="RN">
    <w:p w14:paraId="1EBD01E4" w14:textId="67CA109B" w:rsidR="00570A6B" w:rsidRDefault="00570A6B">
      <w:pPr>
        <w:pStyle w:val="CommentText"/>
      </w:pPr>
      <w:r>
        <w:rPr>
          <w:rStyle w:val="CommentReference"/>
        </w:rPr>
        <w:annotationRef/>
      </w:r>
      <w:r w:rsidRPr="23AB2386">
        <w:t>The idea of bring the compliance regulation fine they pay yearly to stop the leakage which will lead to increase in Revenue and lowering the overall cost.</w:t>
      </w:r>
    </w:p>
  </w:comment>
  <w:comment w:id="20" w:author="John Nogrady" w:date="2025-10-07T13:08:00Z" w:initials="JN">
    <w:p w14:paraId="149FBEC5" w14:textId="77777777" w:rsidR="00427A66" w:rsidRDefault="00211991" w:rsidP="00427A66">
      <w:r>
        <w:rPr>
          <w:rStyle w:val="CommentReference"/>
        </w:rPr>
        <w:annotationRef/>
      </w:r>
      <w:r w:rsidR="00427A66">
        <w:rPr>
          <w:sz w:val="20"/>
          <w:szCs w:val="20"/>
        </w:rPr>
        <w:t>is DORA important? Could be driver/reason. Also support EU Sovereign region</w:t>
      </w:r>
    </w:p>
  </w:comment>
  <w:comment w:id="21" w:author="Prasanth Mangalasseril Prasad" w:date="2025-10-07T16:12:00Z" w:initials="PP">
    <w:p w14:paraId="49041893" w14:textId="5C2B90CC" w:rsidR="00570A6B" w:rsidRDefault="00570A6B">
      <w:pPr>
        <w:pStyle w:val="CommentText"/>
      </w:pPr>
      <w:r>
        <w:rPr>
          <w:rStyle w:val="CommentReference"/>
        </w:rPr>
        <w:annotationRef/>
      </w:r>
      <w:r w:rsidRPr="7F03C545">
        <w:t>Do they have this capability already? or this is a new addition?</w:t>
      </w:r>
    </w:p>
  </w:comment>
  <w:comment w:id="22" w:author="Ross Sharrott" w:date="2025-10-07T16:10:00Z" w:initials="RS">
    <w:p w14:paraId="54EFF552" w14:textId="1C330D06" w:rsidR="00467743" w:rsidRDefault="00467743">
      <w:pPr>
        <w:pStyle w:val="CommentText"/>
      </w:pPr>
      <w:r>
        <w:rPr>
          <w:rStyle w:val="CommentReference"/>
        </w:rPr>
        <w:annotationRef/>
      </w:r>
      <w:r w:rsidRPr="5AA6308F">
        <w:t>interesting, why these specific workloads?</w:t>
      </w:r>
    </w:p>
  </w:comment>
  <w:comment w:id="23" w:author="Rohit Nabh" w:date="2025-10-07T15:51:00Z" w:initials="RN">
    <w:p w14:paraId="5857DF6D" w14:textId="72752BFD" w:rsidR="00570A6B" w:rsidRDefault="00570A6B">
      <w:pPr>
        <w:pStyle w:val="CommentText"/>
      </w:pPr>
      <w:r>
        <w:rPr>
          <w:rStyle w:val="CommentReference"/>
        </w:rPr>
        <w:annotationRef/>
      </w:r>
      <w:r w:rsidRPr="6E759D62">
        <w:t>Their immediate challenge is to stop the leakage of revenue in terms of regulation fines.</w:t>
      </w:r>
    </w:p>
  </w:comment>
  <w:comment w:id="24" w:author="Viswa Mohanty" w:date="2025-10-07T13:15:00Z" w:initials="VM">
    <w:p w14:paraId="273A2DCC" w14:textId="242D91FB" w:rsidR="00570A6B" w:rsidRDefault="00570A6B">
      <w:pPr>
        <w:pStyle w:val="CommentText"/>
      </w:pPr>
      <w:r>
        <w:rPr>
          <w:rStyle w:val="CommentReference"/>
        </w:rPr>
        <w:annotationRef/>
      </w:r>
      <w:r w:rsidRPr="1FF28A60">
        <w:t>Also why OCI? AWS and Azure also has similar pre-build frameworks</w:t>
      </w:r>
    </w:p>
  </w:comment>
  <w:comment w:id="25" w:author="Viswa Mohanty" w:date="2025-10-07T13:07:00Z" w:initials="VM">
    <w:p w14:paraId="77A8B972" w14:textId="429067E7" w:rsidR="00B85684" w:rsidRDefault="00B85684">
      <w:pPr>
        <w:pStyle w:val="CommentText"/>
      </w:pPr>
      <w:r>
        <w:rPr>
          <w:rStyle w:val="CommentReference"/>
        </w:rPr>
        <w:annotationRef/>
      </w:r>
      <w:r w:rsidRPr="3FA58D00">
        <w:t>Missing.</w:t>
      </w:r>
    </w:p>
  </w:comment>
  <w:comment w:id="26" w:author="Gururaj Mohan" w:date="2025-10-07T16:16:00Z" w:initials="GM">
    <w:p w14:paraId="598DE540" w14:textId="43BD21B5" w:rsidR="00570A6B" w:rsidRDefault="00570A6B">
      <w:pPr>
        <w:pStyle w:val="CommentText"/>
      </w:pPr>
      <w:r>
        <w:rPr>
          <w:rStyle w:val="CommentReference"/>
        </w:rPr>
        <w:annotationRef/>
      </w:r>
      <w:r w:rsidRPr="2090F3C6">
        <w:t>does OCI support these regulatory frameworks ?</w:t>
      </w:r>
    </w:p>
    <w:p w14:paraId="55E9967D" w14:textId="38FB4D04" w:rsidR="00570A6B" w:rsidRDefault="00570A6B">
      <w:pPr>
        <w:pStyle w:val="CommentText"/>
      </w:pPr>
      <w:r w:rsidRPr="37085B25">
        <w:t>https://www.oracle.com/corporate/cloud-compliance/</w:t>
      </w:r>
    </w:p>
  </w:comment>
  <w:comment w:id="0" w:author="Joseph Tilley" w:date="2025-10-07T13:11:00Z" w:initials="JT">
    <w:p w14:paraId="766C4E5C" w14:textId="42A44951" w:rsidR="00570A6B" w:rsidRDefault="00570A6B">
      <w:pPr>
        <w:pStyle w:val="CommentText"/>
      </w:pPr>
      <w:r>
        <w:rPr>
          <w:rStyle w:val="CommentReference"/>
        </w:rPr>
        <w:annotationRef/>
      </w:r>
      <w:r w:rsidRPr="023726DE">
        <w:rPr>
          <w:b/>
          <w:bCs/>
        </w:rPr>
        <w:t>future R&amp;D bets for Robinhood --</w:t>
      </w:r>
    </w:p>
    <w:p w14:paraId="2DC1ACCE" w14:textId="4B0F708A" w:rsidR="00570A6B" w:rsidRDefault="00570A6B">
      <w:pPr>
        <w:pStyle w:val="CommentText"/>
      </w:pPr>
      <w:r w:rsidRPr="6042DE9A">
        <w:t>these build on its recent moves (24-hour trading, Gold Card, UK/EU expansion, Bitstamp) and the industry’s direction (AI, tokenization, direct indexing, market-structure changes).</w:t>
      </w:r>
    </w:p>
    <w:p w14:paraId="76C3C357" w14:textId="524106A5" w:rsidR="00570A6B" w:rsidRDefault="00570A6B">
      <w:pPr>
        <w:pStyle w:val="CommentText"/>
      </w:pPr>
    </w:p>
    <w:p w14:paraId="533759CA" w14:textId="0CD5078F" w:rsidR="00570A6B" w:rsidRDefault="00570A6B">
      <w:pPr>
        <w:pStyle w:val="CommentText"/>
      </w:pPr>
    </w:p>
    <w:p w14:paraId="261B353A" w14:textId="09E83EA6" w:rsidR="00570A6B" w:rsidRDefault="00570A6B">
      <w:pPr>
        <w:pStyle w:val="CommentText"/>
      </w:pPr>
      <w:r w:rsidRPr="3D665B46">
        <w:t>1) “Always-On Brokerage”: 24/7 trading across more assets</w:t>
      </w:r>
    </w:p>
    <w:p w14:paraId="0F81A468" w14:textId="1AF369B7" w:rsidR="00570A6B" w:rsidRDefault="00570A6B">
      <w:pPr>
        <w:pStyle w:val="CommentText"/>
      </w:pPr>
      <w:r w:rsidRPr="64EA8910">
        <w:rPr>
          <w:b/>
          <w:bCs/>
        </w:rPr>
        <w:t>What to build:</w:t>
      </w:r>
      <w:r w:rsidRPr="7EBC4898">
        <w:t xml:space="preserve"> Extend 24-hour equities/ETF access with dynamic liquidity sourcing, event-aware limit-order automation, and weekend sessions for select products (e.g., tokenized funds, FX, index CFDs where permitted).</w:t>
      </w:r>
    </w:p>
    <w:p w14:paraId="3B545452" w14:textId="2E181E18" w:rsidR="00570A6B" w:rsidRDefault="00570A6B">
      <w:pPr>
        <w:pStyle w:val="CommentText"/>
      </w:pPr>
      <w:r w:rsidRPr="0B405DF1">
        <w:t xml:space="preserve"> </w:t>
      </w:r>
      <w:r w:rsidRPr="71155BD8">
        <w:rPr>
          <w:b/>
          <w:bCs/>
        </w:rPr>
        <w:t>Why now:</w:t>
      </w:r>
      <w:r w:rsidRPr="13172817">
        <w:t xml:space="preserve"> Robinhood already leads on overnight access; push the edge and capture global time zones. </w:t>
      </w:r>
      <w:hyperlink r:id="rId13">
        <w:r w:rsidRPr="14D45ABB">
          <w:rPr>
            <w:rStyle w:val="Hyperlink"/>
          </w:rPr>
          <w:t>Robinhood+1</w:t>
        </w:r>
      </w:hyperlink>
    </w:p>
    <w:p w14:paraId="2A508789" w14:textId="6A416A5B" w:rsidR="00570A6B" w:rsidRDefault="00570A6B">
      <w:pPr>
        <w:pStyle w:val="CommentText"/>
      </w:pPr>
      <w:r w:rsidRPr="39DF47BA">
        <w:t xml:space="preserve"> </w:t>
      </w:r>
      <w:r w:rsidRPr="6CA4DB9F">
        <w:rPr>
          <w:b/>
          <w:bCs/>
        </w:rPr>
        <w:t>KPIs:</w:t>
      </w:r>
      <w:r w:rsidRPr="3CE85330">
        <w:t xml:space="preserve"> Overnight share of DARTs, spread capture vs. RTH, event-window fill rate.</w:t>
      </w:r>
    </w:p>
    <w:p w14:paraId="1CAC3640" w14:textId="30EB895F" w:rsidR="00570A6B" w:rsidRDefault="00570A6B">
      <w:pPr>
        <w:pStyle w:val="CommentText"/>
      </w:pPr>
    </w:p>
    <w:p w14:paraId="07A7CA8B" w14:textId="34D1475B" w:rsidR="00570A6B" w:rsidRDefault="00570A6B">
      <w:pPr>
        <w:pStyle w:val="CommentText"/>
      </w:pPr>
      <w:r w:rsidRPr="3B960F6B">
        <w:t>2) AI Copilot for Retail Investors (with guardrails)</w:t>
      </w:r>
    </w:p>
    <w:p w14:paraId="1B7A796B" w14:textId="7E79BEA6" w:rsidR="00570A6B" w:rsidRDefault="00570A6B">
      <w:pPr>
        <w:pStyle w:val="CommentText"/>
      </w:pPr>
      <w:r w:rsidRPr="285686B9">
        <w:rPr>
          <w:b/>
          <w:bCs/>
        </w:rPr>
        <w:t>What to build:</w:t>
      </w:r>
      <w:r w:rsidRPr="4FAC5266">
        <w:t xml:space="preserve"> An explainable Copilot that summarizes catalysts, suggests risk-budgeted actions (position sizing, TLH, option risk “nudges”), and ties spend data from Gold Card into goals-based investing.</w:t>
      </w:r>
    </w:p>
    <w:p w14:paraId="5922E985" w14:textId="62570FCA" w:rsidR="00570A6B" w:rsidRDefault="00570A6B">
      <w:pPr>
        <w:pStyle w:val="CommentText"/>
      </w:pPr>
      <w:r w:rsidRPr="77AED47E">
        <w:t xml:space="preserve"> </w:t>
      </w:r>
      <w:r w:rsidRPr="19B477BD">
        <w:rPr>
          <w:b/>
          <w:bCs/>
        </w:rPr>
        <w:t>Why now:</w:t>
      </w:r>
      <w:r w:rsidRPr="35F294D9">
        <w:t xml:space="preserve"> Gen-AI is delivering measurable productivity and advice lift; retail will expect it in-app. </w:t>
      </w:r>
      <w:hyperlink r:id="rId14">
        <w:r w:rsidRPr="7429E0BE">
          <w:rPr>
            <w:rStyle w:val="Hyperlink"/>
          </w:rPr>
          <w:t>McKinsey &amp; Company+2McKinsey &amp; Company+2</w:t>
        </w:r>
      </w:hyperlink>
    </w:p>
    <w:p w14:paraId="7C31ECE2" w14:textId="47572940" w:rsidR="00570A6B" w:rsidRDefault="00570A6B">
      <w:pPr>
        <w:pStyle w:val="CommentText"/>
      </w:pPr>
      <w:r w:rsidRPr="2A45F5E3">
        <w:t xml:space="preserve"> </w:t>
      </w:r>
      <w:r w:rsidRPr="031CA70F">
        <w:rPr>
          <w:b/>
          <w:bCs/>
        </w:rPr>
        <w:t>KPIs:</w:t>
      </w:r>
      <w:r w:rsidRPr="6ACE7801">
        <w:t xml:space="preserve"> Advice engagement → funded actions, “regret”/churn reduction, flagged-risk interventions completed.</w:t>
      </w:r>
    </w:p>
    <w:p w14:paraId="6B82D2F9" w14:textId="1BE5C9E9" w:rsidR="00570A6B" w:rsidRDefault="00570A6B">
      <w:pPr>
        <w:pStyle w:val="CommentText"/>
      </w:pPr>
    </w:p>
    <w:p w14:paraId="49602910" w14:textId="6EC0C5B0" w:rsidR="00570A6B" w:rsidRDefault="00570A6B">
      <w:pPr>
        <w:pStyle w:val="CommentText"/>
      </w:pPr>
      <w:r w:rsidRPr="1FFAAB7B">
        <w:t>3) Direct Indexing for Everyone</w:t>
      </w:r>
    </w:p>
    <w:p w14:paraId="16417FD4" w14:textId="527A561A" w:rsidR="00570A6B" w:rsidRDefault="00570A6B">
      <w:pPr>
        <w:pStyle w:val="CommentText"/>
      </w:pPr>
      <w:r w:rsidRPr="6760653B">
        <w:rPr>
          <w:b/>
          <w:bCs/>
        </w:rPr>
        <w:t>What to build:</w:t>
      </w:r>
      <w:r w:rsidRPr="1628C92F">
        <w:t xml:space="preserve"> Fractional, tax-aware direct indexing with values screens, concentrated stock overhang management, and intraday TLH.</w:t>
      </w:r>
    </w:p>
    <w:p w14:paraId="0A5E0CEB" w14:textId="588D45F7" w:rsidR="00570A6B" w:rsidRDefault="00570A6B">
      <w:pPr>
        <w:pStyle w:val="CommentText"/>
      </w:pPr>
      <w:r w:rsidRPr="06B44AE0">
        <w:t xml:space="preserve"> </w:t>
      </w:r>
      <w:r w:rsidRPr="532AF2C2">
        <w:rPr>
          <w:b/>
          <w:bCs/>
        </w:rPr>
        <w:t>Why now:</w:t>
      </w:r>
      <w:r w:rsidRPr="7A4AA400">
        <w:t xml:space="preserve"> Direct indexing is scaling fast; Robinhood can democratize it with fractional shares and smart order-routing. </w:t>
      </w:r>
      <w:hyperlink r:id="rId15">
        <w:r w:rsidRPr="6FB41754">
          <w:rPr>
            <w:rStyle w:val="Hyperlink"/>
          </w:rPr>
          <w:t>Cerulli Associates+1</w:t>
        </w:r>
      </w:hyperlink>
    </w:p>
    <w:p w14:paraId="7555870C" w14:textId="0656A775" w:rsidR="00570A6B" w:rsidRDefault="00570A6B">
      <w:pPr>
        <w:pStyle w:val="CommentText"/>
      </w:pPr>
      <w:r w:rsidRPr="2ED3ED18">
        <w:t xml:space="preserve"> </w:t>
      </w:r>
      <w:r w:rsidRPr="1712D4FD">
        <w:rPr>
          <w:b/>
          <w:bCs/>
        </w:rPr>
        <w:t>KPIs:</w:t>
      </w:r>
      <w:r w:rsidRPr="15682805">
        <w:t xml:space="preserve"> DI AUM, after-tax alpha vs. ETF benchmarks, custodied external assets rolled in.</w:t>
      </w:r>
    </w:p>
    <w:p w14:paraId="08569084" w14:textId="4468EA69" w:rsidR="00570A6B" w:rsidRDefault="00570A6B">
      <w:pPr>
        <w:pStyle w:val="CommentText"/>
      </w:pPr>
    </w:p>
    <w:p w14:paraId="149E75D1" w14:textId="3F7A2972" w:rsidR="00570A6B" w:rsidRDefault="00570A6B">
      <w:pPr>
        <w:pStyle w:val="CommentText"/>
      </w:pPr>
      <w:r w:rsidRPr="0AD9ABC5">
        <w:t>4) Tokenized Cash &amp; Collateral Rail</w:t>
      </w:r>
    </w:p>
    <w:p w14:paraId="09764CD1" w14:textId="24238F80" w:rsidR="00570A6B" w:rsidRDefault="00570A6B">
      <w:pPr>
        <w:pStyle w:val="CommentText"/>
      </w:pPr>
      <w:r w:rsidRPr="576BA07A">
        <w:rPr>
          <w:b/>
          <w:bCs/>
        </w:rPr>
        <w:t>What to build:</w:t>
      </w:r>
      <w:r w:rsidRPr="4066C4C6">
        <w:t xml:space="preserve"> A “Yield Wallet” that sweeps idle cash into on-chain, regulated MMFs (via partners) and lets users post tokenized T-bill collateral for intraday margin/settlement—abstracting the chain.</w:t>
      </w:r>
    </w:p>
    <w:p w14:paraId="3DADAA38" w14:textId="458488AC" w:rsidR="00570A6B" w:rsidRDefault="00570A6B">
      <w:pPr>
        <w:pStyle w:val="CommentText"/>
      </w:pPr>
      <w:r w:rsidRPr="69405229">
        <w:t xml:space="preserve"> </w:t>
      </w:r>
      <w:r w:rsidRPr="2332B6AF">
        <w:rPr>
          <w:b/>
          <w:bCs/>
        </w:rPr>
        <w:t>Why now:</w:t>
      </w:r>
      <w:r w:rsidRPr="0ABD4503">
        <w:t xml:space="preserve"> Tokenization is moving from pilot to production (BUIDL, BENJI); retail benefit is instant settlement and programmable yield. </w:t>
      </w:r>
      <w:hyperlink r:id="rId16">
        <w:r w:rsidRPr="12658E87">
          <w:rPr>
            <w:rStyle w:val="Hyperlink"/>
          </w:rPr>
          <w:t>addx.co+3The Wall Street Journal+3Business Wire+3</w:t>
        </w:r>
      </w:hyperlink>
    </w:p>
    <w:p w14:paraId="37D6CFC5" w14:textId="341A0A68" w:rsidR="00570A6B" w:rsidRDefault="00570A6B">
      <w:pPr>
        <w:pStyle w:val="CommentText"/>
      </w:pPr>
      <w:r w:rsidRPr="2E0EB165">
        <w:t xml:space="preserve"> </w:t>
      </w:r>
      <w:r w:rsidRPr="06A3348A">
        <w:rPr>
          <w:b/>
          <w:bCs/>
        </w:rPr>
        <w:t>KPIs:</w:t>
      </w:r>
      <w:r w:rsidRPr="78D67D63">
        <w:t xml:space="preserve"> Wallet adoption, on-chain settlement % (behind the scenes), spread/yield uplift vs. sweep.</w:t>
      </w:r>
    </w:p>
    <w:p w14:paraId="578966F3" w14:textId="4C2CC8C7" w:rsidR="00570A6B" w:rsidRDefault="00570A6B">
      <w:pPr>
        <w:pStyle w:val="CommentText"/>
      </w:pPr>
    </w:p>
    <w:p w14:paraId="3E8650D3" w14:textId="641C4F58" w:rsidR="00570A6B" w:rsidRDefault="00570A6B">
      <w:pPr>
        <w:pStyle w:val="CommentText"/>
      </w:pPr>
      <w:r w:rsidRPr="0EFDB99B">
        <w:t>5) Global Crypto + MiCA-Native Platform (post-Bitstamp)</w:t>
      </w:r>
    </w:p>
    <w:p w14:paraId="6ED010EF" w14:textId="2AB3AABB" w:rsidR="00570A6B" w:rsidRDefault="00570A6B">
      <w:pPr>
        <w:pStyle w:val="CommentText"/>
      </w:pPr>
      <w:r w:rsidRPr="794490F3">
        <w:rPr>
          <w:b/>
          <w:bCs/>
        </w:rPr>
        <w:t>What to build:</w:t>
      </w:r>
      <w:r w:rsidRPr="1E9CEC35">
        <w:t xml:space="preserve"> Unified custody/KYC, EUR/GBP rails, staking where allowed, and MiCA-compliant asset listings and disclosures—delivered in one Robinhood UI.</w:t>
      </w:r>
    </w:p>
    <w:p w14:paraId="2E361E64" w14:textId="4F213A6D" w:rsidR="00570A6B" w:rsidRDefault="00570A6B">
      <w:pPr>
        <w:pStyle w:val="CommentText"/>
      </w:pPr>
      <w:r w:rsidRPr="24E13042">
        <w:t xml:space="preserve"> </w:t>
      </w:r>
      <w:r w:rsidRPr="1510F2B8">
        <w:rPr>
          <w:b/>
          <w:bCs/>
        </w:rPr>
        <w:t>Why now:</w:t>
      </w:r>
      <w:r w:rsidRPr="1BE92CCF">
        <w:t xml:space="preserve"> Bitstamp gives licenses and infrastructure; MiCA dates require compliant, pan-EU scale. </w:t>
      </w:r>
      <w:hyperlink r:id="rId17">
        <w:r w:rsidRPr="40EA8519">
          <w:rPr>
            <w:rStyle w:val="Hyperlink"/>
          </w:rPr>
          <w:t>Robinhood+2Reuters+2</w:t>
        </w:r>
      </w:hyperlink>
    </w:p>
    <w:p w14:paraId="685BAB6A" w14:textId="1556C495" w:rsidR="00570A6B" w:rsidRDefault="00570A6B">
      <w:pPr>
        <w:pStyle w:val="CommentText"/>
      </w:pPr>
      <w:r w:rsidRPr="3D096A0B">
        <w:t xml:space="preserve"> </w:t>
      </w:r>
      <w:r w:rsidRPr="253A28AE">
        <w:rPr>
          <w:b/>
          <w:bCs/>
        </w:rPr>
        <w:t>KPIs:</w:t>
      </w:r>
      <w:r w:rsidRPr="561CE80A">
        <w:t xml:space="preserve"> EU MAUs, verified assets under MiCA regime, cost-per-licenseable market entered.</w:t>
      </w:r>
    </w:p>
    <w:p w14:paraId="40E0365B" w14:textId="1FEA98B8" w:rsidR="00570A6B" w:rsidRDefault="00570A6B">
      <w:pPr>
        <w:pStyle w:val="CommentText"/>
      </w:pPr>
    </w:p>
    <w:p w14:paraId="629D54F7" w14:textId="4CD9FDB4" w:rsidR="00570A6B" w:rsidRDefault="00570A6B">
      <w:pPr>
        <w:pStyle w:val="CommentText"/>
      </w:pPr>
      <w:r w:rsidRPr="63895C80">
        <w:t>6) Social Trading 2.0 (verified signals, not hype)</w:t>
      </w:r>
    </w:p>
    <w:p w14:paraId="707ABD13" w14:textId="3F35F213" w:rsidR="00570A6B" w:rsidRDefault="00570A6B">
      <w:pPr>
        <w:pStyle w:val="CommentText"/>
      </w:pPr>
      <w:r w:rsidRPr="675AEDC0">
        <w:rPr>
          <w:b/>
          <w:bCs/>
        </w:rPr>
        <w:t>What to build:</w:t>
      </w:r>
      <w:r w:rsidRPr="5DB79359">
        <w:t xml:space="preserve"> “Robinhood Social” with audited track records, risk-scored copy baskets, and creator disclosure rules; AI flags undue risk concentration or herding before copy trades execute.</w:t>
      </w:r>
    </w:p>
    <w:p w14:paraId="5AED8A2D" w14:textId="0A54D883" w:rsidR="00570A6B" w:rsidRDefault="00570A6B">
      <w:pPr>
        <w:pStyle w:val="CommentText"/>
      </w:pPr>
      <w:r w:rsidRPr="4C1BB2C9">
        <w:t xml:space="preserve"> </w:t>
      </w:r>
      <w:r w:rsidRPr="18D06FF9">
        <w:rPr>
          <w:b/>
          <w:bCs/>
        </w:rPr>
        <w:t>Why now:</w:t>
      </w:r>
      <w:r w:rsidRPr="4C04506E">
        <w:t xml:space="preserve"> Robinhood is already rolling out social + advanced tools—bake in compliance and outcome nudges from day one. </w:t>
      </w:r>
      <w:hyperlink r:id="rId18">
        <w:r w:rsidRPr="09E0B4B9">
          <w:rPr>
            <w:rStyle w:val="Hyperlink"/>
          </w:rPr>
          <w:t>Robinhood</w:t>
        </w:r>
      </w:hyperlink>
    </w:p>
    <w:p w14:paraId="77E02BD0" w14:textId="3E54D0FD" w:rsidR="00570A6B" w:rsidRDefault="00570A6B">
      <w:pPr>
        <w:pStyle w:val="CommentText"/>
      </w:pPr>
      <w:r w:rsidRPr="7EB84136">
        <w:t xml:space="preserve"> </w:t>
      </w:r>
      <w:r w:rsidRPr="4F597431">
        <w:rPr>
          <w:b/>
          <w:bCs/>
        </w:rPr>
        <w:t>KPIs:</w:t>
      </w:r>
      <w:r w:rsidRPr="3B93AA53">
        <w:t xml:space="preserve"> Copy-basket retention vs. single-name, flagged-risk acceptance, regulator audit outcomes.</w:t>
      </w:r>
    </w:p>
    <w:p w14:paraId="1369B6EB" w14:textId="50E3A9B3" w:rsidR="00570A6B" w:rsidRDefault="00570A6B">
      <w:pPr>
        <w:pStyle w:val="CommentText"/>
      </w:pPr>
    </w:p>
    <w:p w14:paraId="2CAEDDE6" w14:textId="3C13B0B6" w:rsidR="00570A6B" w:rsidRDefault="00570A6B">
      <w:pPr>
        <w:pStyle w:val="CommentText"/>
      </w:pPr>
      <w:r w:rsidRPr="0A079770">
        <w:t>7) Options &amp; Futures Risk Sandbox</w:t>
      </w:r>
    </w:p>
    <w:p w14:paraId="67703283" w14:textId="675F0212" w:rsidR="00570A6B" w:rsidRDefault="00570A6B">
      <w:pPr>
        <w:pStyle w:val="CommentText"/>
      </w:pPr>
      <w:r w:rsidRPr="35125818">
        <w:rPr>
          <w:b/>
          <w:bCs/>
        </w:rPr>
        <w:t>What to build:</w:t>
      </w:r>
      <w:r w:rsidRPr="001DF048">
        <w:t xml:space="preserve"> A simulation lab (real Greeks, vol surfaces, P&amp;L paths) that auto-proposes safer hedges and enforces dynamic risk budgets; integrate with futures once broadly live.</w:t>
      </w:r>
    </w:p>
    <w:p w14:paraId="75B0E6DD" w14:textId="02835CBB" w:rsidR="00570A6B" w:rsidRDefault="00570A6B">
      <w:pPr>
        <w:pStyle w:val="CommentText"/>
      </w:pPr>
      <w:r w:rsidRPr="56CA5494">
        <w:t xml:space="preserve"> </w:t>
      </w:r>
      <w:r w:rsidRPr="03180338">
        <w:rPr>
          <w:b/>
          <w:bCs/>
        </w:rPr>
        <w:t>Why now:</w:t>
      </w:r>
      <w:r w:rsidRPr="59A4E34C">
        <w:t xml:space="preserve"> Options remain a core engagement lever; “education that acts” can reduce adverse outcomes. </w:t>
      </w:r>
      <w:hyperlink r:id="rId19">
        <w:r w:rsidRPr="10C1CAA1">
          <w:rPr>
            <w:rStyle w:val="Hyperlink"/>
          </w:rPr>
          <w:t>Robinhood</w:t>
        </w:r>
      </w:hyperlink>
    </w:p>
    <w:p w14:paraId="5A9F4FDD" w14:textId="7C657922" w:rsidR="00570A6B" w:rsidRDefault="00570A6B">
      <w:pPr>
        <w:pStyle w:val="CommentText"/>
      </w:pPr>
      <w:r w:rsidRPr="675F66A0">
        <w:t xml:space="preserve"> </w:t>
      </w:r>
      <w:r w:rsidRPr="535B291F">
        <w:rPr>
          <w:b/>
          <w:bCs/>
        </w:rPr>
        <w:t>KPIs:</w:t>
      </w:r>
      <w:r w:rsidRPr="6795A529">
        <w:t xml:space="preserve"> Loss-tail reduction, hedge adoption rate, progression from paper → funded strategy.</w:t>
      </w:r>
    </w:p>
    <w:p w14:paraId="4A24EA5F" w14:textId="1303BAFE" w:rsidR="00570A6B" w:rsidRDefault="00570A6B">
      <w:pPr>
        <w:pStyle w:val="CommentText"/>
      </w:pPr>
    </w:p>
    <w:p w14:paraId="7EA2E623" w14:textId="471669FA" w:rsidR="00570A6B" w:rsidRDefault="00570A6B">
      <w:pPr>
        <w:pStyle w:val="CommentText"/>
      </w:pPr>
      <w:r w:rsidRPr="71DD23AC">
        <w:t>8) Order-Competition &amp; Best-Ex Engine (post-SEC reforms)</w:t>
      </w:r>
    </w:p>
    <w:p w14:paraId="15CBB53B" w14:textId="4EF9D6B7" w:rsidR="00570A6B" w:rsidRDefault="00570A6B">
      <w:pPr>
        <w:pStyle w:val="CommentText"/>
      </w:pPr>
      <w:r w:rsidRPr="2A965D7F">
        <w:rPr>
          <w:b/>
          <w:bCs/>
        </w:rPr>
        <w:t>What to build:</w:t>
      </w:r>
      <w:r w:rsidRPr="3CAAE8E8">
        <w:t xml:space="preserve"> Auction-aware router that exposes retail lots to competing liquidity, odd-lot display, and tick-size optimization—then surfaces realized price improvement in-app.</w:t>
      </w:r>
    </w:p>
    <w:p w14:paraId="088CF8DB" w14:textId="56746A08" w:rsidR="00570A6B" w:rsidRDefault="00570A6B">
      <w:pPr>
        <w:pStyle w:val="CommentText"/>
      </w:pPr>
      <w:r w:rsidRPr="05A9067F">
        <w:t xml:space="preserve"> </w:t>
      </w:r>
      <w:r w:rsidRPr="15049306">
        <w:rPr>
          <w:b/>
          <w:bCs/>
        </w:rPr>
        <w:t>Why now:</w:t>
      </w:r>
      <w:r w:rsidRPr="69750A09">
        <w:t xml:space="preserve"> SEC market-structure changes (tick sizes, access fees, potential order-competition rule) reward tech-forward routing. </w:t>
      </w:r>
      <w:hyperlink r:id="rId20">
        <w:r w:rsidRPr="6EA97575">
          <w:rPr>
            <w:rStyle w:val="Hyperlink"/>
          </w:rPr>
          <w:t>SIFMA+1</w:t>
        </w:r>
      </w:hyperlink>
    </w:p>
    <w:p w14:paraId="0E252B0E" w14:textId="5F3A6D56" w:rsidR="00570A6B" w:rsidRDefault="00570A6B">
      <w:pPr>
        <w:pStyle w:val="CommentText"/>
      </w:pPr>
      <w:r w:rsidRPr="131DCD73">
        <w:t xml:space="preserve"> </w:t>
      </w:r>
      <w:r w:rsidRPr="474B994E">
        <w:rPr>
          <w:b/>
          <w:bCs/>
        </w:rPr>
        <w:t>KPIs:</w:t>
      </w:r>
      <w:r w:rsidRPr="08955ED7">
        <w:t xml:space="preserve"> Price-improvement vs. NBBO, odd-lot fill quality, app-visible “PI dollars” to customers.</w:t>
      </w:r>
    </w:p>
    <w:p w14:paraId="6608A66A" w14:textId="4C7FB5E9" w:rsidR="00570A6B" w:rsidRDefault="00570A6B">
      <w:pPr>
        <w:pStyle w:val="CommentText"/>
      </w:pPr>
    </w:p>
    <w:p w14:paraId="18AF114F" w14:textId="7268222E" w:rsidR="00570A6B" w:rsidRDefault="00570A6B">
      <w:pPr>
        <w:pStyle w:val="CommentText"/>
      </w:pPr>
      <w:r w:rsidRPr="7E842F84">
        <w:t>9) UK/ISA &amp; EU Multi-Asset Expansion</w:t>
      </w:r>
    </w:p>
    <w:p w14:paraId="704751CC" w14:textId="121E542E" w:rsidR="00570A6B" w:rsidRDefault="00570A6B">
      <w:pPr>
        <w:pStyle w:val="CommentText"/>
      </w:pPr>
      <w:r w:rsidRPr="136F9A3A">
        <w:rPr>
          <w:b/>
          <w:bCs/>
        </w:rPr>
        <w:t>What to build:</w:t>
      </w:r>
      <w:r w:rsidRPr="1109C47A">
        <w:t xml:space="preserve"> Native ISA workflows (allowlists, transfers), LSE small-tick liquidity tools, and low-friction FX; stage derivatives only with regulator alignment.</w:t>
      </w:r>
    </w:p>
    <w:p w14:paraId="75FCB579" w14:textId="5FE9A57E" w:rsidR="00570A6B" w:rsidRDefault="00570A6B">
      <w:pPr>
        <w:pStyle w:val="CommentText"/>
      </w:pPr>
      <w:r w:rsidRPr="485E8C51">
        <w:t xml:space="preserve"> </w:t>
      </w:r>
      <w:r w:rsidRPr="31943675">
        <w:rPr>
          <w:b/>
          <w:bCs/>
        </w:rPr>
        <w:t>Why now:</w:t>
      </w:r>
      <w:r w:rsidRPr="54F9EAAA">
        <w:t xml:space="preserve"> UK is live and growing; product breadth + price transparency are the wedge. </w:t>
      </w:r>
      <w:hyperlink r:id="rId21">
        <w:r w:rsidRPr="72980048">
          <w:rPr>
            <w:rStyle w:val="Hyperlink"/>
          </w:rPr>
          <w:t>TechCrunch+1</w:t>
        </w:r>
      </w:hyperlink>
    </w:p>
    <w:p w14:paraId="028B600C" w14:textId="0582C97D" w:rsidR="00570A6B" w:rsidRDefault="00570A6B">
      <w:pPr>
        <w:pStyle w:val="CommentText"/>
      </w:pPr>
      <w:r w:rsidRPr="6052A210">
        <w:t xml:space="preserve"> </w:t>
      </w:r>
      <w:r w:rsidRPr="75CCE70C">
        <w:rPr>
          <w:b/>
          <w:bCs/>
        </w:rPr>
        <w:t>KPIs:</w:t>
      </w:r>
      <w:r w:rsidRPr="43341E5F">
        <w:t xml:space="preserve"> UK funded accounts, ISA AUM, FX take-rate vs. peers.</w:t>
      </w:r>
    </w:p>
    <w:p w14:paraId="24825E6B" w14:textId="39719FB2" w:rsidR="00570A6B" w:rsidRDefault="00570A6B">
      <w:pPr>
        <w:pStyle w:val="CommentText"/>
      </w:pPr>
    </w:p>
    <w:p w14:paraId="549D84B2" w14:textId="5CDCBAA6" w:rsidR="00570A6B" w:rsidRDefault="00570A6B">
      <w:pPr>
        <w:pStyle w:val="CommentText"/>
      </w:pPr>
      <w:r w:rsidRPr="52D198BC">
        <w:t>10) Identity &amp; Fraud Graph (TradFi + Crypto + Card)</w:t>
      </w:r>
    </w:p>
    <w:p w14:paraId="6DF65C9E" w14:textId="1FFA66D9" w:rsidR="00570A6B" w:rsidRDefault="00570A6B">
      <w:pPr>
        <w:pStyle w:val="CommentText"/>
      </w:pPr>
      <w:r w:rsidRPr="2EB949E9">
        <w:rPr>
          <w:b/>
          <w:bCs/>
        </w:rPr>
        <w:t>What to build:</w:t>
      </w:r>
      <w:r w:rsidRPr="68054650">
        <w:t xml:space="preserve"> Cross-domain identity, device, and behavioral graph (brokerage, Bitstamp, Gold Card) with agentic AI for real-time fraud interdiction and credit risk scoring.</w:t>
      </w:r>
    </w:p>
    <w:p w14:paraId="74919BFD" w14:textId="2A5CDAE8" w:rsidR="00570A6B" w:rsidRDefault="00570A6B">
      <w:pPr>
        <w:pStyle w:val="CommentText"/>
      </w:pPr>
      <w:r w:rsidRPr="17B83997">
        <w:t xml:space="preserve"> </w:t>
      </w:r>
      <w:r w:rsidRPr="074BEAD7">
        <w:rPr>
          <w:b/>
          <w:bCs/>
        </w:rPr>
        <w:t>Why now:</w:t>
      </w:r>
      <w:r w:rsidRPr="78C3D0B7">
        <w:t xml:space="preserve"> Robinhood now spans spend, invest, and crypto; shared signals lower losses and friction. </w:t>
      </w:r>
      <w:hyperlink r:id="rId22">
        <w:r w:rsidRPr="12D6B921">
          <w:rPr>
            <w:rStyle w:val="Hyperlink"/>
          </w:rPr>
          <w:t>Robinhood+1</w:t>
        </w:r>
      </w:hyperlink>
    </w:p>
    <w:p w14:paraId="49F64AE8" w14:textId="2C8DE602" w:rsidR="00570A6B" w:rsidRDefault="00570A6B">
      <w:pPr>
        <w:pStyle w:val="CommentText"/>
      </w:pPr>
      <w:r w:rsidRPr="6D44B504">
        <w:t xml:space="preserve"> </w:t>
      </w:r>
      <w:r w:rsidRPr="05923469">
        <w:rPr>
          <w:b/>
          <w:bCs/>
        </w:rPr>
        <w:t>KPIs:</w:t>
      </w:r>
      <w:r w:rsidRPr="34B44AD6">
        <w:t xml:space="preserve"> Fraud loss rate, auto-approved KYC %, step-up auth conversion.</w:t>
      </w:r>
    </w:p>
    <w:p w14:paraId="4EA7A6A2" w14:textId="091D5F35" w:rsidR="00570A6B" w:rsidRDefault="00570A6B">
      <w:pPr>
        <w:pStyle w:val="CommentText"/>
      </w:pPr>
    </w:p>
    <w:p w14:paraId="53954CA9" w14:textId="54DD7B41" w:rsidR="00570A6B" w:rsidRDefault="00570A6B">
      <w:pPr>
        <w:pStyle w:val="CommentText"/>
      </w:pPr>
    </w:p>
    <w:p w14:paraId="4BBC1E0E" w14:textId="262FD89E" w:rsidR="00570A6B" w:rsidRDefault="00570A6B">
      <w:pPr>
        <w:pStyle w:val="CommentText"/>
      </w:pPr>
      <w:r w:rsidRPr="5B1ABA0E">
        <w:t>12–18 month sequencing (Now / Next / Later)</w:t>
      </w:r>
    </w:p>
    <w:p w14:paraId="29631B8E" w14:textId="1D28F7E0" w:rsidR="00570A6B" w:rsidRDefault="00570A6B">
      <w:pPr>
        <w:pStyle w:val="CommentText"/>
      </w:pPr>
      <w:r w:rsidRPr="4BA39C1D">
        <w:rPr>
          <w:b/>
          <w:bCs/>
        </w:rPr>
        <w:t>Now (0–6 mo):</w:t>
      </w:r>
      <w:r w:rsidRPr="1402B5C3">
        <w:t xml:space="preserve"> AI Copilot v1 (explainers + risk nudges), UK ISA flows, social trading (read-only verified profiles), router enhancements for odd-lots/ticks, tokenized MMF partners scoped. </w:t>
      </w:r>
      <w:hyperlink r:id="rId23">
        <w:r w:rsidRPr="5DFE8A68">
          <w:rPr>
            <w:rStyle w:val="Hyperlink"/>
          </w:rPr>
          <w:t>Robinhood+1</w:t>
        </w:r>
      </w:hyperlink>
    </w:p>
    <w:p w14:paraId="699F1D2A" w14:textId="379E5960" w:rsidR="00570A6B" w:rsidRDefault="00570A6B">
      <w:pPr>
        <w:pStyle w:val="CommentText"/>
      </w:pPr>
      <w:r w:rsidRPr="1C5BC0C5">
        <w:rPr>
          <w:b/>
          <w:bCs/>
        </w:rPr>
        <w:t>Next (6–12 mo):</w:t>
      </w:r>
      <w:r w:rsidRPr="6D7D658B">
        <w:t xml:space="preserve"> Direct Indexing beta with TLH, weekend/holiday trading pilots, fraud graph across card+brokerage, MiCA-ready EU crypto onboarding. </w:t>
      </w:r>
      <w:hyperlink r:id="rId24">
        <w:r w:rsidRPr="54B540E7">
          <w:rPr>
            <w:rStyle w:val="Hyperlink"/>
          </w:rPr>
          <w:t>Cerulli Associates+1</w:t>
        </w:r>
      </w:hyperlink>
    </w:p>
    <w:p w14:paraId="6603DDA9" w14:textId="02205377" w:rsidR="00570A6B" w:rsidRDefault="00570A6B">
      <w:pPr>
        <w:pStyle w:val="CommentText"/>
      </w:pPr>
      <w:r w:rsidRPr="1C792847">
        <w:rPr>
          <w:b/>
          <w:bCs/>
        </w:rPr>
        <w:t>Later (12–18 mo):</w:t>
      </w:r>
      <w:r w:rsidRPr="1A35AC8F">
        <w:t xml:space="preserve"> Tokenized collateral in production (behind the scenes), copy-baskets with risk caps, options/futures sandbox GA, auction-aware best-ex rolled out broadly. </w:t>
      </w:r>
      <w:hyperlink r:id="rId25">
        <w:r w:rsidRPr="372B0D44">
          <w:rPr>
            <w:rStyle w:val="Hyperlink"/>
          </w:rPr>
          <w:t>Business Wire+2Robinhood+2</w:t>
        </w:r>
      </w:hyperlink>
    </w:p>
    <w:p w14:paraId="63E3700E" w14:textId="4D48763E" w:rsidR="00570A6B" w:rsidRDefault="00570A6B">
      <w:pPr>
        <w:pStyle w:val="CommentText"/>
      </w:pPr>
      <w:r w:rsidRPr="711C9080">
        <w:t>Build notes (quick hits)</w:t>
      </w:r>
    </w:p>
    <w:p w14:paraId="6CE91F7E" w14:textId="3E538EBB" w:rsidR="00570A6B" w:rsidRDefault="00570A6B">
      <w:pPr>
        <w:pStyle w:val="CommentText"/>
      </w:pPr>
      <w:r w:rsidRPr="59041DCE">
        <w:rPr>
          <w:b/>
          <w:bCs/>
        </w:rPr>
        <w:t>Compliance by design:</w:t>
      </w:r>
      <w:r w:rsidRPr="270D8190">
        <w:t xml:space="preserve"> Pre-trade guardrails + disclosures embedded in social/AI features; audit trails for AI recommendations (prompt/output retention). </w:t>
      </w:r>
      <w:hyperlink r:id="rId26">
        <w:r w:rsidRPr="5510BA3F">
          <w:rPr>
            <w:rStyle w:val="Hyperlink"/>
          </w:rPr>
          <w:t>McKinsey &amp; Company</w:t>
        </w:r>
      </w:hyperlink>
    </w:p>
    <w:p w14:paraId="44202E62" w14:textId="768D7A4A" w:rsidR="00570A6B" w:rsidRDefault="00570A6B">
      <w:pPr>
        <w:pStyle w:val="CommentText"/>
      </w:pPr>
      <w:r w:rsidRPr="5A87047F">
        <w:rPr>
          <w:b/>
          <w:bCs/>
        </w:rPr>
        <w:t>Partner where it’s faster:</w:t>
      </w:r>
      <w:r w:rsidRPr="12AD66F9">
        <w:t xml:space="preserve"> Tokenized funds via issuers (BlackRock/Franklin) rather than in-house; custody abstracted from users. </w:t>
      </w:r>
      <w:hyperlink r:id="rId27">
        <w:r w:rsidRPr="6348E8AA">
          <w:rPr>
            <w:rStyle w:val="Hyperlink"/>
          </w:rPr>
          <w:t>The Wall Street Journal+1</w:t>
        </w:r>
      </w:hyperlink>
    </w:p>
    <w:p w14:paraId="6C0845EA" w14:textId="1ABD0258" w:rsidR="00570A6B" w:rsidRDefault="00570A6B">
      <w:pPr>
        <w:pStyle w:val="CommentText"/>
      </w:pPr>
    </w:p>
    <w:p w14:paraId="4E0F8BD4" w14:textId="23B54A37" w:rsidR="00570A6B" w:rsidRDefault="00570A6B">
      <w:pPr>
        <w:pStyle w:val="CommentText"/>
      </w:pPr>
      <w:r w:rsidRPr="04281062">
        <w:rPr>
          <w:b/>
          <w:bCs/>
        </w:rPr>
        <w:t>Tell the story in-app:</w:t>
      </w:r>
      <w:r w:rsidRPr="4787B1C8">
        <w:t xml:space="preserve"> Surface price-improvement dollars, after-tax value from DI/TLH, and overnight liquidity wins to reinforce habit formation. </w:t>
      </w:r>
      <w:hyperlink r:id="rId28">
        <w:r w:rsidRPr="144F1C9B">
          <w:rPr>
            <w:rStyle w:val="Hyperlink"/>
          </w:rPr>
          <w:t>SIFMA</w:t>
        </w:r>
      </w:hyperlink>
    </w:p>
    <w:p w14:paraId="11057CAE" w14:textId="53A89ED3" w:rsidR="00570A6B" w:rsidRDefault="00570A6B">
      <w:pPr>
        <w:pStyle w:val="CommentText"/>
      </w:pPr>
      <w:r w:rsidRPr="79316F60">
        <w:t>Why this portfolio wins</w:t>
      </w:r>
    </w:p>
    <w:p w14:paraId="32F8AB89" w14:textId="0E419EC2" w:rsidR="00570A6B" w:rsidRDefault="00570A6B">
      <w:pPr>
        <w:pStyle w:val="CommentText"/>
      </w:pPr>
      <w:r w:rsidRPr="0993F939">
        <w:t xml:space="preserve">It compounds Robinhood’s existing differentiators—24/7 access, global crypto, and card+brokerage integration—into durable moats: </w:t>
      </w:r>
      <w:r w:rsidRPr="4E3F629F">
        <w:rPr>
          <w:i/>
          <w:iCs/>
        </w:rPr>
        <w:t>time-zone liquidity</w:t>
      </w:r>
      <w:r w:rsidRPr="08F72ADF">
        <w:t xml:space="preserve">, </w:t>
      </w:r>
      <w:r w:rsidRPr="3C3608D7">
        <w:rPr>
          <w:i/>
          <w:iCs/>
        </w:rPr>
        <w:t>personalized portfolios</w:t>
      </w:r>
      <w:r w:rsidRPr="18E59745">
        <w:t xml:space="preserve">, and </w:t>
      </w:r>
      <w:r w:rsidRPr="345C43EA">
        <w:rPr>
          <w:i/>
          <w:iCs/>
        </w:rPr>
        <w:t>programmable cash/credit</w:t>
      </w:r>
      <w:r w:rsidRPr="021D0FCF">
        <w:t xml:space="preserve">. It also positions Robinhood to lead in the coming waves of </w:t>
      </w:r>
      <w:r w:rsidRPr="50E05969">
        <w:rPr>
          <w:b/>
          <w:bCs/>
        </w:rPr>
        <w:t>tokenization</w:t>
      </w:r>
      <w:r w:rsidRPr="355AC332">
        <w:t xml:space="preserve"> and </w:t>
      </w:r>
      <w:r w:rsidRPr="5830BBB0">
        <w:rPr>
          <w:b/>
          <w:bCs/>
        </w:rPr>
        <w:t>AI-augmented advice</w:t>
      </w:r>
      <w:r w:rsidRPr="67C40DDD">
        <w:t xml:space="preserve"> that analysts expect to scale through the decade. </w:t>
      </w:r>
      <w:hyperlink r:id="rId29">
        <w:r w:rsidRPr="7C9B4098">
          <w:rPr>
            <w:rStyle w:val="Hyperlink"/>
          </w:rPr>
          <w:t>addx.co+1</w:t>
        </w:r>
      </w:hyperlink>
    </w:p>
    <w:p w14:paraId="687E3538" w14:textId="7019DC43" w:rsidR="00570A6B" w:rsidRDefault="00570A6B">
      <w:pPr>
        <w:pStyle w:val="CommentText"/>
      </w:pPr>
      <w:r w:rsidRPr="080758AF">
        <w:t>Recent moves reshaping Robinhood’s landscape</w:t>
      </w:r>
    </w:p>
    <w:p w14:paraId="081BD04B" w14:textId="758BEF8B" w:rsidR="00570A6B" w:rsidRDefault="00570A6B">
      <w:pPr>
        <w:pStyle w:val="CommentText"/>
      </w:pPr>
    </w:p>
    <w:p w14:paraId="41306BF3" w14:textId="1348F773" w:rsidR="00570A6B" w:rsidRDefault="00570A6B">
      <w:pPr>
        <w:pStyle w:val="CommentText"/>
      </w:pPr>
    </w:p>
    <w:p w14:paraId="1DD8274E" w14:textId="3E0FBFC4" w:rsidR="00570A6B" w:rsidRDefault="00000000">
      <w:pPr>
        <w:pStyle w:val="CommentText"/>
      </w:pPr>
      <w:hyperlink r:id="rId30">
        <w:r w:rsidR="00570A6B" w:rsidRPr="4505A213">
          <w:rPr>
            <w:rStyle w:val="Hyperlink"/>
          </w:rPr>
          <w:t>ft.com</w:t>
        </w:r>
      </w:hyperlink>
    </w:p>
    <w:p w14:paraId="0AB3F9A8" w14:textId="3B28E36F" w:rsidR="00570A6B" w:rsidRDefault="00000000">
      <w:pPr>
        <w:pStyle w:val="CommentText"/>
      </w:pPr>
      <w:hyperlink r:id="rId31">
        <w:r w:rsidR="00570A6B" w:rsidRPr="20AF317E">
          <w:rPr>
            <w:rStyle w:val="Hyperlink"/>
          </w:rPr>
          <w:t>Robinhood takes aim at UK 'DIY' platforms Hargreaves Lansdown and AJ Bell</w:t>
        </w:r>
      </w:hyperlink>
    </w:p>
    <w:p w14:paraId="1F5759FB" w14:textId="1B3836DB" w:rsidR="00570A6B" w:rsidRDefault="00000000">
      <w:pPr>
        <w:pStyle w:val="CommentText"/>
      </w:pPr>
      <w:hyperlink r:id="rId32">
        <w:r w:rsidR="00570A6B" w:rsidRPr="363ED3C9">
          <w:rPr>
            <w:rStyle w:val="Hyperlink"/>
          </w:rPr>
          <w:t>3 days ago</w:t>
        </w:r>
      </w:hyperlink>
    </w:p>
    <w:p w14:paraId="442E551F" w14:textId="5AA8B75A" w:rsidR="00570A6B" w:rsidRDefault="00570A6B">
      <w:pPr>
        <w:pStyle w:val="CommentText"/>
      </w:pPr>
    </w:p>
    <w:p w14:paraId="723F47E5" w14:textId="28FA4462" w:rsidR="00570A6B" w:rsidRDefault="00570A6B">
      <w:pPr>
        <w:pStyle w:val="CommentText"/>
      </w:pPr>
    </w:p>
    <w:p w14:paraId="717FB781" w14:textId="55820D0B" w:rsidR="00570A6B" w:rsidRDefault="00570A6B">
      <w:pPr>
        <w:pStyle w:val="CommentText"/>
      </w:pPr>
    </w:p>
    <w:p w14:paraId="3E537547" w14:textId="25E5647C" w:rsidR="00570A6B" w:rsidRDefault="00000000">
      <w:pPr>
        <w:pStyle w:val="CommentText"/>
      </w:pPr>
      <w:hyperlink r:id="rId33">
        <w:r w:rsidR="00570A6B" w:rsidRPr="55710267">
          <w:rPr>
            <w:rStyle w:val="Hyperlink"/>
          </w:rPr>
          <w:t>ft.com</w:t>
        </w:r>
      </w:hyperlink>
    </w:p>
    <w:p w14:paraId="16107ECC" w14:textId="561DDCC9" w:rsidR="00570A6B" w:rsidRDefault="00000000">
      <w:pPr>
        <w:pStyle w:val="CommentText"/>
      </w:pPr>
      <w:hyperlink r:id="rId34">
        <w:r w:rsidR="00570A6B" w:rsidRPr="2D8E3F49">
          <w:rPr>
            <w:rStyle w:val="Hyperlink"/>
          </w:rPr>
          <w:t>EU watchdog prepares to expand oversight of crypto and exchanges</w:t>
        </w:r>
      </w:hyperlink>
    </w:p>
    <w:p w14:paraId="1D15470E" w14:textId="61964B1C" w:rsidR="00570A6B" w:rsidRDefault="00000000">
      <w:pPr>
        <w:pStyle w:val="CommentText"/>
      </w:pPr>
      <w:hyperlink r:id="rId35">
        <w:r w:rsidR="00570A6B" w:rsidRPr="56563E1C">
          <w:rPr>
            <w:rStyle w:val="Hyperlink"/>
          </w:rPr>
          <w:t>Yesterday</w:t>
        </w:r>
      </w:hyperlink>
    </w:p>
    <w:p w14:paraId="34A71656" w14:textId="6763318A" w:rsidR="00570A6B" w:rsidRDefault="00570A6B">
      <w:pPr>
        <w:pStyle w:val="CommentText"/>
      </w:pPr>
    </w:p>
    <w:p w14:paraId="304C56C5" w14:textId="55D07B6B" w:rsidR="00570A6B" w:rsidRDefault="00570A6B">
      <w:pPr>
        <w:pStyle w:val="CommentText"/>
      </w:pPr>
    </w:p>
    <w:p w14:paraId="09A4C8F1" w14:textId="15D1E5B9" w:rsidR="00570A6B" w:rsidRDefault="00000000">
      <w:pPr>
        <w:pStyle w:val="CommentText"/>
      </w:pPr>
      <w:hyperlink r:id="rId36">
        <w:r w:rsidR="00570A6B" w:rsidRPr="7D64BB1B">
          <w:rPr>
            <w:rStyle w:val="Hyperlink"/>
          </w:rPr>
          <w:t>The Wall Street Journal</w:t>
        </w:r>
      </w:hyperlink>
    </w:p>
    <w:p w14:paraId="69ACC0D6" w14:textId="174114C5" w:rsidR="00570A6B" w:rsidRDefault="00000000">
      <w:pPr>
        <w:pStyle w:val="CommentText"/>
      </w:pPr>
      <w:hyperlink r:id="rId37">
        <w:r w:rsidR="00570A6B" w:rsidRPr="2076A9CA">
          <w:rPr>
            <w:rStyle w:val="Hyperlink"/>
          </w:rPr>
          <w:t>BlackRock Launches First Tokenized Fund on Ethereum Blockchain</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2C0C50" w15:done="0"/>
  <w15:commentEx w15:paraId="4E782AFB" w15:done="0"/>
  <w15:commentEx w15:paraId="523EAE93" w15:done="0"/>
  <w15:commentEx w15:paraId="4730F931" w15:paraIdParent="523EAE93" w15:done="0"/>
  <w15:commentEx w15:paraId="22B7AD12" w15:done="0"/>
  <w15:commentEx w15:paraId="5852989B" w15:paraIdParent="22B7AD12" w15:done="0"/>
  <w15:commentEx w15:paraId="2254AFDB" w15:done="0"/>
  <w15:commentEx w15:paraId="10EB3C5D" w15:done="0"/>
  <w15:commentEx w15:paraId="1A281455" w15:done="0"/>
  <w15:commentEx w15:paraId="40DBE0CF" w15:done="0"/>
  <w15:commentEx w15:paraId="03C620B3" w15:paraIdParent="40DBE0CF" w15:done="0"/>
  <w15:commentEx w15:paraId="69367703" w15:done="0"/>
  <w15:commentEx w15:paraId="5CE26DA4" w15:done="0"/>
  <w15:commentEx w15:paraId="678B6533" w15:paraIdParent="5CE26DA4" w15:done="0"/>
  <w15:commentEx w15:paraId="154A65B1" w15:done="0"/>
  <w15:commentEx w15:paraId="1EBD01E4" w15:paraIdParent="154A65B1" w15:done="0"/>
  <w15:commentEx w15:paraId="149FBEC5" w15:done="0"/>
  <w15:commentEx w15:paraId="49041893" w15:done="0"/>
  <w15:commentEx w15:paraId="54EFF552" w15:done="0"/>
  <w15:commentEx w15:paraId="5857DF6D" w15:paraIdParent="54EFF552" w15:done="0"/>
  <w15:commentEx w15:paraId="273A2DCC" w15:done="0"/>
  <w15:commentEx w15:paraId="77A8B972" w15:done="0"/>
  <w15:commentEx w15:paraId="55E9967D" w15:done="0"/>
  <w15:commentEx w15:paraId="69ACC0D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EADFB38" w16cex:dateUtc="2025-10-07T20:26:00Z"/>
  <w16cex:commentExtensible w16cex:durableId="45E6E234" w16cex:dateUtc="2025-10-07T20:08:00Z"/>
  <w16cex:commentExtensible w16cex:durableId="681756EA" w16cex:dateUtc="2025-10-07T20:05:00Z">
    <w16cex:extLst>
      <w16:ext xmlns:w16sdtfl="http://schemas.microsoft.com/office/word/2024/wordml/sdtformatlock" xmlns:w16du="http://schemas.microsoft.com/office/word/2023/wordml/word16du" xmlns:cr="http://schemas.microsoft.com/office/comments/2020/reactions" xmlns="" w16:uri="{CE6994B0-6A32-4C9F-8C6B-6E91EDA988CE}">
        <cr:reactions xmlns:cr="http://schemas.microsoft.com/office/comments/2020/reactions">
          <cr:reaction reactionType="1">
            <cr:reactionInfo dateUtc="2025-10-07T20:17:54Z">
              <cr:user userId="S::rohit.nabh@oracle.com::7c7c4cf4-8a1e-4be7-941b-1b473562acbb" userProvider="AD" userName="Rohit Nabh"/>
            </cr:reactionInfo>
          </cr:reaction>
        </cr:reactions>
      </w16:ext>
    </w16cex:extLst>
  </w16cex:commentExtensible>
  <w16cex:commentExtensible w16cex:durableId="68B58666" w16cex:dateUtc="2025-10-07T20:44:00Z"/>
  <w16cex:commentExtensible w16cex:durableId="1D836DB0" w16cex:dateUtc="2025-10-07T20:06:00Z">
    <w16cex:extLst>
      <w16:ext xmlns:w16sdtfl="http://schemas.microsoft.com/office/word/2024/wordml/sdtformatlock" xmlns:w16du="http://schemas.microsoft.com/office/word/2023/wordml/word16du" xmlns:cr="http://schemas.microsoft.com/office/comments/2020/reactions" xmlns="" w16:uri="{CE6994B0-6A32-4C9F-8C6B-6E91EDA988CE}">
        <cr:reactions xmlns:cr="http://schemas.microsoft.com/office/comments/2020/reactions">
          <cr:reaction reactionType="1">
            <cr:reactionInfo dateUtc="2025-10-07T20:46:07Z">
              <cr:user userId="S::rohit.nabh@oracle.com::7c7c4cf4-8a1e-4be7-941b-1b473562acbb" userProvider="AD" userName="Rohit Nabh"/>
            </cr:reactionInfo>
          </cr:reaction>
        </cr:reactions>
      </w16:ext>
    </w16cex:extLst>
  </w16cex:commentExtensible>
  <w16cex:commentExtensible w16cex:durableId="147F0C8E" w16cex:dateUtc="2025-10-07T20:46:00Z"/>
  <w16cex:commentExtensible w16cex:durableId="4A514EF4" w16cex:dateUtc="2025-10-08T17:39:00Z"/>
  <w16cex:commentExtensible w16cex:durableId="57E7409A" w16cex:dateUtc="2025-10-07T20:10:00Z">
    <w16cex:extLst>
      <w16:ext xmlns:w16sdtfl="http://schemas.microsoft.com/office/word/2024/wordml/sdtformatlock" xmlns:w16du="http://schemas.microsoft.com/office/word/2023/wordml/word16du" xmlns:cr="http://schemas.microsoft.com/office/comments/2020/reactions" xmlns="" w16:uri="{CE6994B0-6A32-4C9F-8C6B-6E91EDA988CE}">
        <cr:reactions xmlns:cr="http://schemas.microsoft.com/office/comments/2020/reactions">
          <cr:reaction reactionType="1">
            <cr:reactionInfo dateUtc="2025-10-07T20:23:31Z">
              <cr:user userId="S::rohit.nabh@oracle.com::7c7c4cf4-8a1e-4be7-941b-1b473562acbb" userProvider="AD" userName="Rohit Nabh"/>
            </cr:reactionInfo>
          </cr:reaction>
        </cr:reactions>
      </w16:ext>
    </w16cex:extLst>
  </w16cex:commentExtensible>
  <w16cex:commentExtensible w16cex:durableId="5CE3BD76" w16cex:dateUtc="2025-10-07T20:09:00Z">
    <w16cex:extLst>
      <w16:ext xmlns:w16sdtfl="http://schemas.microsoft.com/office/word/2024/wordml/sdtformatlock" xmlns:w16du="http://schemas.microsoft.com/office/word/2023/wordml/word16du" xmlns:cr="http://schemas.microsoft.com/office/comments/2020/reactions" xmlns="" w16:uri="{CE6994B0-6A32-4C9F-8C6B-6E91EDA988CE}">
        <cr:reactions xmlns:cr="http://schemas.microsoft.com/office/comments/2020/reactions">
          <cr:reaction reactionType="1">
            <cr:reactionInfo dateUtc="2025-10-07T20:19:49Z">
              <cr:user userId="S::rohit.nabh@oracle.com::7c7c4cf4-8a1e-4be7-941b-1b473562acbb" userProvider="AD" userName="Rohit Nabh"/>
            </cr:reactionInfo>
          </cr:reaction>
        </cr:reactions>
      </w16:ext>
    </w16cex:extLst>
  </w16cex:commentExtensible>
  <w16cex:commentExtensible w16cex:durableId="2C35BF06" w16cex:dateUtc="2025-10-07T20:07:00Z">
    <w16cex:extLst>
      <w16:ext xmlns:w16sdtfl="http://schemas.microsoft.com/office/word/2024/wordml/sdtformatlock" xmlns:w16du="http://schemas.microsoft.com/office/word/2023/wordml/word16du" xmlns:cr="http://schemas.microsoft.com/office/comments/2020/reactions" xmlns="" w16:uri="{CE6994B0-6A32-4C9F-8C6B-6E91EDA988CE}">
        <cr:reactions xmlns:cr="http://schemas.microsoft.com/office/comments/2020/reactions">
          <cr:reaction reactionType="1">
            <cr:reactionInfo dateUtc="2025-10-07T20:25:37Z">
              <cr:user userId="S::rohit.nabh@oracle.com::7c7c4cf4-8a1e-4be7-941b-1b473562acbb" userProvider="AD" userName="Rohit Nabh"/>
            </cr:reactionInfo>
          </cr:reaction>
        </cr:reactions>
      </w16:ext>
    </w16cex:extLst>
  </w16cex:commentExtensible>
  <w16cex:commentExtensible w16cex:durableId="7C6A7B14" w16cex:dateUtc="2025-10-07T20:25:00Z"/>
  <w16cex:commentExtensible w16cex:durableId="7AEE4D74" w16cex:dateUtc="2025-10-07T20:08:00Z"/>
  <w16cex:commentExtensible w16cex:durableId="5860A43A" w16cex:dateUtc="2025-10-07T20:12:00Z">
    <w16cex:extLst>
      <w16:ext xmlns:w16sdtfl="http://schemas.microsoft.com/office/word/2024/wordml/sdtformatlock" xmlns:w16du="http://schemas.microsoft.com/office/word/2023/wordml/word16du" xmlns:cr="http://schemas.microsoft.com/office/comments/2020/reactions" xmlns="" w16:uri="{CE6994B0-6A32-4C9F-8C6B-6E91EDA988CE}">
        <cr:reactions xmlns:cr="http://schemas.microsoft.com/office/comments/2020/reactions">
          <cr:reaction reactionType="1">
            <cr:reactionInfo dateUtc="2025-10-07T20:29:04Z">
              <cr:user userId="S::rohit.nabh@oracle.com::7c7c4cf4-8a1e-4be7-941b-1b473562acbb" userProvider="AD" userName="Rohit Nabh"/>
            </cr:reactionInfo>
          </cr:reaction>
        </cr:reactions>
      </w16:ext>
    </w16cex:extLst>
  </w16cex:commentExtensible>
  <w16cex:commentExtensible w16cex:durableId="56748AA8" w16cex:dateUtc="2025-10-07T20:47:00Z"/>
  <w16cex:commentExtensible w16cex:durableId="74565479" w16cex:dateUtc="2025-10-07T20:11:00Z">
    <w16cex:extLst>
      <w16:ext xmlns:w16sdtfl="http://schemas.microsoft.com/office/word/2024/wordml/sdtformatlock" xmlns:w16du="http://schemas.microsoft.com/office/word/2023/wordml/word16du" xmlns:cr="http://schemas.microsoft.com/office/comments/2020/reactions" xmlns="" w16:uri="{CE6994B0-6A32-4C9F-8C6B-6E91EDA988CE}">
        <cr:reactions xmlns:cr="http://schemas.microsoft.com/office/comments/2020/reactions">
          <cr:reaction reactionType="1">
            <cr:reactionInfo dateUtc="2025-10-07T20:30:38Z">
              <cr:user userId="S::rohit.nabh@oracle.com::7c7c4cf4-8a1e-4be7-941b-1b473562acbb" userProvider="AD" userName="Rohit Nabh"/>
            </cr:reactionInfo>
          </cr:reaction>
        </cr:reactions>
      </w16:ext>
    </w16cex:extLst>
  </w16cex:commentExtensible>
  <w16cex:commentExtensible w16cex:durableId="7E03BE54" w16cex:dateUtc="2025-10-07T20:50:00Z"/>
  <w16cex:commentExtensible w16cex:durableId="72BEC308" w16cex:dateUtc="2025-10-07T20:08:00Z"/>
  <w16cex:commentExtensible w16cex:durableId="148FE9C6" w16cex:dateUtc="2025-10-07T20:12:00Z">
    <w16cex:extLst>
      <w16:ext xmlns:w16sdtfl="http://schemas.microsoft.com/office/word/2024/wordml/sdtformatlock" xmlns:w16du="http://schemas.microsoft.com/office/word/2023/wordml/word16du" xmlns:cr="http://schemas.microsoft.com/office/comments/2020/reactions" xmlns="" w16:uri="{CE6994B0-6A32-4C9F-8C6B-6E91EDA988CE}">
        <cr:reactions xmlns:cr="http://schemas.microsoft.com/office/comments/2020/reactions">
          <cr:reaction reactionType="1">
            <cr:reactionInfo dateUtc="2025-10-07T20:35:07Z">
              <cr:user userId="S::rohit.nabh@oracle.com::7c7c4cf4-8a1e-4be7-941b-1b473562acbb" userProvider="AD" userName="Rohit Nabh"/>
            </cr:reactionInfo>
          </cr:reaction>
        </cr:reactions>
      </w16:ext>
    </w16cex:extLst>
  </w16cex:commentExtensible>
  <w16cex:commentExtensible w16cex:durableId="127A2D4F" w16cex:dateUtc="2025-10-07T20:10:00Z">
    <w16cex:extLst>
      <w16:ext xmlns:w16sdtfl="http://schemas.microsoft.com/office/word/2024/wordml/sdtformatlock" xmlns:w16du="http://schemas.microsoft.com/office/word/2023/wordml/word16du" xmlns:cr="http://schemas.microsoft.com/office/comments/2020/reactions" xmlns="" w16:uri="{CE6994B0-6A32-4C9F-8C6B-6E91EDA988CE}">
        <cr:reactions xmlns:cr="http://schemas.microsoft.com/office/comments/2020/reactions">
          <cr:reaction reactionType="1">
            <cr:reactionInfo dateUtc="2025-10-07T20:51:45Z">
              <cr:user userId="S::rohit.nabh@oracle.com::7c7c4cf4-8a1e-4be7-941b-1b473562acbb" userProvider="AD" userName="Rohit Nabh"/>
            </cr:reactionInfo>
          </cr:reaction>
        </cr:reactions>
      </w16:ext>
    </w16cex:extLst>
  </w16cex:commentExtensible>
  <w16cex:commentExtensible w16cex:durableId="07116162" w16cex:dateUtc="2025-10-07T20:51:00Z"/>
  <w16cex:commentExtensible w16cex:durableId="173AAA6C" w16cex:dateUtc="2025-10-07T20:15:00Z"/>
  <w16cex:commentExtensible w16cex:durableId="37CF3582" w16cex:dateUtc="2025-10-07T20:07:00Z"/>
  <w16cex:commentExtensible w16cex:durableId="17841F74" w16cex:dateUtc="2025-10-07T20:16:00Z">
    <w16cex:extLst>
      <w16:ext xmlns:w16sdtfl="http://schemas.microsoft.com/office/word/2024/wordml/sdtformatlock" xmlns:w16du="http://schemas.microsoft.com/office/word/2023/wordml/word16du" xmlns:cr="http://schemas.microsoft.com/office/comments/2020/reactions" xmlns="" w16:uri="{CE6994B0-6A32-4C9F-8C6B-6E91EDA988CE}">
        <cr:reactions xmlns:cr="http://schemas.microsoft.com/office/comments/2020/reactions">
          <cr:reaction reactionType="1">
            <cr:reactionInfo dateUtc="2025-10-07T20:36:52Z">
              <cr:user userId="S::rohit.nabh@oracle.com::7c7c4cf4-8a1e-4be7-941b-1b473562acbb" userProvider="AD" userName="Rohit Nabh"/>
            </cr:reactionInfo>
          </cr:reaction>
        </cr:reactions>
      </w16:ext>
    </w16cex:extLst>
  </w16cex:commentExtensible>
  <w16cex:commentExtensible w16cex:durableId="052ABB83" w16cex:dateUtc="2025-10-07T2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2C0C50" w16cid:durableId="7EADFB38"/>
  <w16cid:commentId w16cid:paraId="4E782AFB" w16cid:durableId="45E6E234"/>
  <w16cid:commentId w16cid:paraId="523EAE93" w16cid:durableId="681756EA"/>
  <w16cid:commentId w16cid:paraId="4730F931" w16cid:durableId="68B58666"/>
  <w16cid:commentId w16cid:paraId="22B7AD12" w16cid:durableId="1D836DB0"/>
  <w16cid:commentId w16cid:paraId="5852989B" w16cid:durableId="147F0C8E"/>
  <w16cid:commentId w16cid:paraId="2254AFDB" w16cid:durableId="4A514EF4"/>
  <w16cid:commentId w16cid:paraId="10EB3C5D" w16cid:durableId="57E7409A"/>
  <w16cid:commentId w16cid:paraId="1A281455" w16cid:durableId="5CE3BD76"/>
  <w16cid:commentId w16cid:paraId="40DBE0CF" w16cid:durableId="2C35BF06"/>
  <w16cid:commentId w16cid:paraId="03C620B3" w16cid:durableId="7C6A7B14"/>
  <w16cid:commentId w16cid:paraId="69367703" w16cid:durableId="7AEE4D74"/>
  <w16cid:commentId w16cid:paraId="5CE26DA4" w16cid:durableId="5860A43A"/>
  <w16cid:commentId w16cid:paraId="678B6533" w16cid:durableId="56748AA8"/>
  <w16cid:commentId w16cid:paraId="154A65B1" w16cid:durableId="74565479"/>
  <w16cid:commentId w16cid:paraId="1EBD01E4" w16cid:durableId="7E03BE54"/>
  <w16cid:commentId w16cid:paraId="149FBEC5" w16cid:durableId="72BEC308"/>
  <w16cid:commentId w16cid:paraId="49041893" w16cid:durableId="148FE9C6"/>
  <w16cid:commentId w16cid:paraId="54EFF552" w16cid:durableId="127A2D4F"/>
  <w16cid:commentId w16cid:paraId="5857DF6D" w16cid:durableId="07116162"/>
  <w16cid:commentId w16cid:paraId="273A2DCC" w16cid:durableId="173AAA6C"/>
  <w16cid:commentId w16cid:paraId="77A8B972" w16cid:durableId="37CF3582"/>
  <w16cid:commentId w16cid:paraId="55E9967D" w16cid:durableId="17841F74"/>
  <w16cid:commentId w16cid:paraId="69ACC0D6" w16cid:durableId="052ABB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8DE4E" w14:textId="77777777" w:rsidR="00E3392B" w:rsidRDefault="00E3392B" w:rsidP="006C2B00">
      <w:r>
        <w:separator/>
      </w:r>
    </w:p>
  </w:endnote>
  <w:endnote w:type="continuationSeparator" w:id="0">
    <w:p w14:paraId="3859561E" w14:textId="77777777" w:rsidR="00E3392B" w:rsidRDefault="00E3392B" w:rsidP="006C2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426FA" w14:textId="3A06E5E6" w:rsidR="006C2B00" w:rsidRDefault="006C2B00">
    <w:pPr>
      <w:pStyle w:val="Footer"/>
    </w:pPr>
    <w:r>
      <w:rPr>
        <w:noProof/>
      </w:rPr>
      <mc:AlternateContent>
        <mc:Choice Requires="wps">
          <w:drawing>
            <wp:anchor distT="0" distB="0" distL="0" distR="0" simplePos="0" relativeHeight="251658244" behindDoc="0" locked="0" layoutInCell="1" allowOverlap="1" wp14:anchorId="35AE6A7E" wp14:editId="22724D23">
              <wp:simplePos x="635" y="635"/>
              <wp:positionH relativeFrom="page">
                <wp:align>left</wp:align>
              </wp:positionH>
              <wp:positionV relativeFrom="page">
                <wp:align>bottom</wp:align>
              </wp:positionV>
              <wp:extent cx="1863725" cy="333375"/>
              <wp:effectExtent l="0" t="0" r="3175" b="0"/>
              <wp:wrapNone/>
              <wp:docPr id="1358476740" name="Text Box 5"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3725" cy="333375"/>
                      </a:xfrm>
                      <a:prstGeom prst="rect">
                        <a:avLst/>
                      </a:prstGeom>
                      <a:noFill/>
                      <a:ln>
                        <a:noFill/>
                      </a:ln>
                    </wps:spPr>
                    <wps:txbx>
                      <w:txbxContent>
                        <w:p w14:paraId="519BBF0A" w14:textId="5EFCC72F" w:rsidR="006C2B00" w:rsidRPr="006C2B00" w:rsidRDefault="006C2B00" w:rsidP="006C2B00">
                          <w:pPr>
                            <w:rPr>
                              <w:rFonts w:ascii="Calibri" w:eastAsia="Calibri" w:hAnsi="Calibri" w:cs="Calibri"/>
                              <w:noProof/>
                              <w:color w:val="000000"/>
                              <w:sz w:val="20"/>
                              <w:szCs w:val="20"/>
                            </w:rPr>
                          </w:pPr>
                          <w:r w:rsidRPr="006C2B00">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AE6A7E" id="_x0000_t202" coordsize="21600,21600" o:spt="202" path="m,l,21600r21600,l21600,xe">
              <v:stroke joinstyle="miter"/>
              <v:path gradientshapeok="t" o:connecttype="rect"/>
            </v:shapetype>
            <v:shape id="Text Box 5" o:spid="_x0000_s1028" type="#_x0000_t202" alt="Confidential - Oracle Restricted" style="position:absolute;margin-left:0;margin-top:0;width:146.75pt;height:26.25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" filled="f" stroked="f">
              <v:textbox style="mso-fit-shape-to-text:t" inset="20pt,0,0,15pt">
                <w:txbxContent>
                  <w:p w14:paraId="519BBF0A" w14:textId="5EFCC72F" w:rsidR="006C2B00" w:rsidRPr="006C2B00" w:rsidRDefault="006C2B00" w:rsidP="006C2B00">
                    <w:pPr>
                      <w:rPr>
                        <w:rFonts w:ascii="Calibri" w:eastAsia="Calibri" w:hAnsi="Calibri" w:cs="Calibri"/>
                        <w:noProof/>
                        <w:color w:val="000000"/>
                        <w:sz w:val="20"/>
                        <w:szCs w:val="20"/>
                      </w:rPr>
                    </w:pPr>
                    <w:r w:rsidRPr="006C2B00">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704DC" w14:textId="7FB73EF5" w:rsidR="006C2B00" w:rsidRDefault="006C2B00">
    <w:pPr>
      <w:pStyle w:val="Footer"/>
    </w:pPr>
    <w:r>
      <w:rPr>
        <w:noProof/>
      </w:rPr>
      <mc:AlternateContent>
        <mc:Choice Requires="wps">
          <w:drawing>
            <wp:anchor distT="0" distB="0" distL="0" distR="0" simplePos="0" relativeHeight="251658245" behindDoc="0" locked="0" layoutInCell="1" allowOverlap="1" wp14:anchorId="33F72A40" wp14:editId="196A1A7B">
              <wp:simplePos x="635" y="635"/>
              <wp:positionH relativeFrom="page">
                <wp:align>left</wp:align>
              </wp:positionH>
              <wp:positionV relativeFrom="page">
                <wp:align>bottom</wp:align>
              </wp:positionV>
              <wp:extent cx="1863725" cy="333375"/>
              <wp:effectExtent l="0" t="0" r="3175" b="0"/>
              <wp:wrapNone/>
              <wp:docPr id="2092044000" name="Text Box 6"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3725" cy="333375"/>
                      </a:xfrm>
                      <a:prstGeom prst="rect">
                        <a:avLst/>
                      </a:prstGeom>
                      <a:noFill/>
                      <a:ln>
                        <a:noFill/>
                      </a:ln>
                    </wps:spPr>
                    <wps:txbx>
                      <w:txbxContent>
                        <w:p w14:paraId="0AA3661F" w14:textId="39916205" w:rsidR="006C2B00" w:rsidRPr="006C2B00" w:rsidRDefault="006C2B00" w:rsidP="006C2B00">
                          <w:pPr>
                            <w:rPr>
                              <w:rFonts w:ascii="Calibri" w:eastAsia="Calibri" w:hAnsi="Calibri" w:cs="Calibri"/>
                              <w:noProof/>
                              <w:color w:val="000000"/>
                              <w:sz w:val="20"/>
                              <w:szCs w:val="20"/>
                            </w:rPr>
                          </w:pPr>
                          <w:r w:rsidRPr="006C2B00">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F72A40" id="_x0000_t202" coordsize="21600,21600" o:spt="202" path="m,l,21600r21600,l21600,xe">
              <v:stroke joinstyle="miter"/>
              <v:path gradientshapeok="t" o:connecttype="rect"/>
            </v:shapetype>
            <v:shape id="Text Box 6" o:spid="_x0000_s1029" type="#_x0000_t202" alt="Confidential - Oracle Restricted" style="position:absolute;margin-left:0;margin-top:0;width:146.75pt;height:26.25pt;z-index:25165824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" filled="f" stroked="f">
              <v:textbox style="mso-fit-shape-to-text:t" inset="20pt,0,0,15pt">
                <w:txbxContent>
                  <w:p w14:paraId="0AA3661F" w14:textId="39916205" w:rsidR="006C2B00" w:rsidRPr="006C2B00" w:rsidRDefault="006C2B00" w:rsidP="006C2B00">
                    <w:pPr>
                      <w:rPr>
                        <w:rFonts w:ascii="Calibri" w:eastAsia="Calibri" w:hAnsi="Calibri" w:cs="Calibri"/>
                        <w:noProof/>
                        <w:color w:val="000000"/>
                        <w:sz w:val="20"/>
                        <w:szCs w:val="20"/>
                      </w:rPr>
                    </w:pPr>
                    <w:r w:rsidRPr="006C2B00">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4FB0C" w14:textId="5193E6A2" w:rsidR="006C2B00" w:rsidRDefault="006C2B00">
    <w:pPr>
      <w:pStyle w:val="Footer"/>
    </w:pPr>
    <w:r>
      <w:rPr>
        <w:noProof/>
      </w:rPr>
      <mc:AlternateContent>
        <mc:Choice Requires="wps">
          <w:drawing>
            <wp:anchor distT="0" distB="0" distL="0" distR="0" simplePos="0" relativeHeight="251658243" behindDoc="0" locked="0" layoutInCell="1" allowOverlap="1" wp14:anchorId="3203B762" wp14:editId="5AB2FC17">
              <wp:simplePos x="635" y="635"/>
              <wp:positionH relativeFrom="page">
                <wp:align>left</wp:align>
              </wp:positionH>
              <wp:positionV relativeFrom="page">
                <wp:align>bottom</wp:align>
              </wp:positionV>
              <wp:extent cx="1863725" cy="333375"/>
              <wp:effectExtent l="0" t="0" r="3175" b="0"/>
              <wp:wrapNone/>
              <wp:docPr id="1990296541" name="Text Box 4"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3725" cy="333375"/>
                      </a:xfrm>
                      <a:prstGeom prst="rect">
                        <a:avLst/>
                      </a:prstGeom>
                      <a:noFill/>
                      <a:ln>
                        <a:noFill/>
                      </a:ln>
                    </wps:spPr>
                    <wps:txbx>
                      <w:txbxContent>
                        <w:p w14:paraId="77314493" w14:textId="3820BB02" w:rsidR="006C2B00" w:rsidRPr="006C2B00" w:rsidRDefault="006C2B00" w:rsidP="006C2B00">
                          <w:pPr>
                            <w:rPr>
                              <w:rFonts w:ascii="Calibri" w:eastAsia="Calibri" w:hAnsi="Calibri" w:cs="Calibri"/>
                              <w:noProof/>
                              <w:color w:val="000000"/>
                              <w:sz w:val="20"/>
                              <w:szCs w:val="20"/>
                            </w:rPr>
                          </w:pPr>
                          <w:r w:rsidRPr="006C2B00">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03B762" id="_x0000_t202" coordsize="21600,21600" o:spt="202" path="m,l,21600r21600,l21600,xe">
              <v:stroke joinstyle="miter"/>
              <v:path gradientshapeok="t" o:connecttype="rect"/>
            </v:shapetype>
            <v:shape id="Text Box 4" o:spid="_x0000_s1031" type="#_x0000_t202" alt="Confidential - Oracle Restricted" style="position:absolute;margin-left:0;margin-top:0;width:146.75pt;height:26.2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" filled="f" stroked="f">
              <v:textbox style="mso-fit-shape-to-text:t" inset="20pt,0,0,15pt">
                <w:txbxContent>
                  <w:p w14:paraId="77314493" w14:textId="3820BB02" w:rsidR="006C2B00" w:rsidRPr="006C2B00" w:rsidRDefault="006C2B00" w:rsidP="006C2B00">
                    <w:pPr>
                      <w:rPr>
                        <w:rFonts w:ascii="Calibri" w:eastAsia="Calibri" w:hAnsi="Calibri" w:cs="Calibri"/>
                        <w:noProof/>
                        <w:color w:val="000000"/>
                        <w:sz w:val="20"/>
                        <w:szCs w:val="20"/>
                      </w:rPr>
                    </w:pPr>
                    <w:r w:rsidRPr="006C2B00">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15091" w14:textId="77777777" w:rsidR="00E3392B" w:rsidRDefault="00E3392B" w:rsidP="006C2B00">
      <w:r>
        <w:separator/>
      </w:r>
    </w:p>
  </w:footnote>
  <w:footnote w:type="continuationSeparator" w:id="0">
    <w:p w14:paraId="40D67A4D" w14:textId="77777777" w:rsidR="00E3392B" w:rsidRDefault="00E3392B" w:rsidP="006C2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CF88D" w14:textId="4C6B6D5C" w:rsidR="006C2B00" w:rsidRDefault="006C2B00">
    <w:pPr>
      <w:pStyle w:val="Header"/>
    </w:pPr>
    <w:r>
      <w:rPr>
        <w:noProof/>
      </w:rPr>
      <mc:AlternateContent>
        <mc:Choice Requires="wps">
          <w:drawing>
            <wp:anchor distT="0" distB="0" distL="0" distR="0" simplePos="0" relativeHeight="251658241" behindDoc="0" locked="0" layoutInCell="1" allowOverlap="1" wp14:anchorId="504F4374" wp14:editId="05DB210F">
              <wp:simplePos x="635" y="635"/>
              <wp:positionH relativeFrom="page">
                <wp:align>left</wp:align>
              </wp:positionH>
              <wp:positionV relativeFrom="page">
                <wp:align>top</wp:align>
              </wp:positionV>
              <wp:extent cx="1863725" cy="333375"/>
              <wp:effectExtent l="0" t="0" r="3175" b="9525"/>
              <wp:wrapNone/>
              <wp:docPr id="2081728909" name="Text Box 2"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63725" cy="333375"/>
                      </a:xfrm>
                      <a:prstGeom prst="rect">
                        <a:avLst/>
                      </a:prstGeom>
                      <a:noFill/>
                      <a:ln>
                        <a:noFill/>
                      </a:ln>
                    </wps:spPr>
                    <wps:txbx>
                      <w:txbxContent>
                        <w:p w14:paraId="5AA4D45F" w14:textId="007439D4" w:rsidR="006C2B00" w:rsidRPr="006C2B00" w:rsidRDefault="006C2B00" w:rsidP="006C2B00">
                          <w:pPr>
                            <w:rPr>
                              <w:rFonts w:ascii="Calibri" w:eastAsia="Calibri" w:hAnsi="Calibri" w:cs="Calibri"/>
                              <w:noProof/>
                              <w:color w:val="000000"/>
                              <w:sz w:val="20"/>
                              <w:szCs w:val="20"/>
                            </w:rPr>
                          </w:pPr>
                          <w:r w:rsidRPr="006C2B00">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04F4374" id="_x0000_t202" coordsize="21600,21600" o:spt="202" path="m,l,21600r21600,l21600,xe">
              <v:stroke joinstyle="miter"/>
              <v:path gradientshapeok="t" o:connecttype="rect"/>
            </v:shapetype>
            <v:shape id="Text Box 2" o:spid="_x0000_s1026" type="#_x0000_t202" alt="Confidential - Oracle Restricted" style="position:absolute;margin-left:0;margin-top:0;width:146.75pt;height:26.2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" filled="f" stroked="f">
              <v:textbox style="mso-fit-shape-to-text:t" inset="20pt,15pt,0,0">
                <w:txbxContent>
                  <w:p w14:paraId="5AA4D45F" w14:textId="007439D4" w:rsidR="006C2B00" w:rsidRPr="006C2B00" w:rsidRDefault="006C2B00" w:rsidP="006C2B00">
                    <w:pPr>
                      <w:rPr>
                        <w:rFonts w:ascii="Calibri" w:eastAsia="Calibri" w:hAnsi="Calibri" w:cs="Calibri"/>
                        <w:noProof/>
                        <w:color w:val="000000"/>
                        <w:sz w:val="20"/>
                        <w:szCs w:val="20"/>
                      </w:rPr>
                    </w:pPr>
                    <w:r w:rsidRPr="006C2B00">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B3224" w14:textId="24DAAC74" w:rsidR="006C2B00" w:rsidRDefault="006C2B00">
    <w:pPr>
      <w:pStyle w:val="Header"/>
    </w:pPr>
    <w:r>
      <w:rPr>
        <w:noProof/>
      </w:rPr>
      <mc:AlternateContent>
        <mc:Choice Requires="wps">
          <w:drawing>
            <wp:anchor distT="0" distB="0" distL="0" distR="0" simplePos="0" relativeHeight="251658242" behindDoc="0" locked="0" layoutInCell="1" allowOverlap="1" wp14:anchorId="74169B94" wp14:editId="2101DF0A">
              <wp:simplePos x="635" y="635"/>
              <wp:positionH relativeFrom="page">
                <wp:align>left</wp:align>
              </wp:positionH>
              <wp:positionV relativeFrom="page">
                <wp:align>top</wp:align>
              </wp:positionV>
              <wp:extent cx="1863725" cy="333375"/>
              <wp:effectExtent l="0" t="0" r="3175" b="9525"/>
              <wp:wrapNone/>
              <wp:docPr id="1582150704"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63725" cy="333375"/>
                      </a:xfrm>
                      <a:prstGeom prst="rect">
                        <a:avLst/>
                      </a:prstGeom>
                      <a:noFill/>
                      <a:ln>
                        <a:noFill/>
                      </a:ln>
                    </wps:spPr>
                    <wps:txbx>
                      <w:txbxContent>
                        <w:p w14:paraId="60440E86" w14:textId="2DEE10A9" w:rsidR="006C2B00" w:rsidRPr="006C2B00" w:rsidRDefault="006C2B00" w:rsidP="006C2B00">
                          <w:pPr>
                            <w:rPr>
                              <w:rFonts w:ascii="Calibri" w:eastAsia="Calibri" w:hAnsi="Calibri" w:cs="Calibri"/>
                              <w:noProof/>
                              <w:color w:val="000000"/>
                              <w:sz w:val="20"/>
                              <w:szCs w:val="20"/>
                            </w:rPr>
                          </w:pPr>
                          <w:r w:rsidRPr="006C2B00">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4169B94" id="_x0000_t202" coordsize="21600,21600" o:spt="202" path="m,l,21600r21600,l21600,xe">
              <v:stroke joinstyle="miter"/>
              <v:path gradientshapeok="t" o:connecttype="rect"/>
            </v:shapetype>
            <v:shape id="Text Box 3" o:spid="_x0000_s1027" type="#_x0000_t202" alt="Confidential - Oracle Restricted" style="position:absolute;margin-left:0;margin-top:0;width:146.75pt;height:26.25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" filled="f" stroked="f">
              <v:textbox style="mso-fit-shape-to-text:t" inset="20pt,15pt,0,0">
                <w:txbxContent>
                  <w:p w14:paraId="60440E86" w14:textId="2DEE10A9" w:rsidR="006C2B00" w:rsidRPr="006C2B00" w:rsidRDefault="006C2B00" w:rsidP="006C2B00">
                    <w:pPr>
                      <w:rPr>
                        <w:rFonts w:ascii="Calibri" w:eastAsia="Calibri" w:hAnsi="Calibri" w:cs="Calibri"/>
                        <w:noProof/>
                        <w:color w:val="000000"/>
                        <w:sz w:val="20"/>
                        <w:szCs w:val="20"/>
                      </w:rPr>
                    </w:pPr>
                    <w:r w:rsidRPr="006C2B00">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B0927" w14:textId="79276EAC" w:rsidR="006C2B00" w:rsidRDefault="006C2B00">
    <w:pPr>
      <w:pStyle w:val="Header"/>
    </w:pPr>
    <w:r>
      <w:rPr>
        <w:noProof/>
      </w:rPr>
      <mc:AlternateContent>
        <mc:Choice Requires="wps">
          <w:drawing>
            <wp:anchor distT="0" distB="0" distL="0" distR="0" simplePos="0" relativeHeight="251658240" behindDoc="0" locked="0" layoutInCell="1" allowOverlap="1" wp14:anchorId="78CDACA6" wp14:editId="3E761D89">
              <wp:simplePos x="635" y="635"/>
              <wp:positionH relativeFrom="page">
                <wp:align>left</wp:align>
              </wp:positionH>
              <wp:positionV relativeFrom="page">
                <wp:align>top</wp:align>
              </wp:positionV>
              <wp:extent cx="1863725" cy="333375"/>
              <wp:effectExtent l="0" t="0" r="3175" b="9525"/>
              <wp:wrapNone/>
              <wp:docPr id="212485160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63725" cy="333375"/>
                      </a:xfrm>
                      <a:prstGeom prst="rect">
                        <a:avLst/>
                      </a:prstGeom>
                      <a:noFill/>
                      <a:ln>
                        <a:noFill/>
                      </a:ln>
                    </wps:spPr>
                    <wps:txbx>
                      <w:txbxContent>
                        <w:p w14:paraId="5F29A968" w14:textId="5C54DB83" w:rsidR="006C2B00" w:rsidRPr="006C2B00" w:rsidRDefault="006C2B00" w:rsidP="006C2B00">
                          <w:pPr>
                            <w:rPr>
                              <w:rFonts w:ascii="Calibri" w:eastAsia="Calibri" w:hAnsi="Calibri" w:cs="Calibri"/>
                              <w:noProof/>
                              <w:color w:val="000000"/>
                              <w:sz w:val="20"/>
                              <w:szCs w:val="20"/>
                            </w:rPr>
                          </w:pPr>
                          <w:r w:rsidRPr="006C2B00">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8CDACA6" id="_x0000_t202" coordsize="21600,21600" o:spt="202" path="m,l,21600r21600,l21600,xe">
              <v:stroke joinstyle="miter"/>
              <v:path gradientshapeok="t" o:connecttype="rect"/>
            </v:shapetype>
            <v:shape id="Text Box 1" o:spid="_x0000_s1030" type="#_x0000_t202" alt="Confidential - Oracle Restricted" style="position:absolute;margin-left:0;margin-top:0;width:146.75pt;height:26.2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" filled="f" stroked="f">
              <v:textbox style="mso-fit-shape-to-text:t" inset="20pt,15pt,0,0">
                <w:txbxContent>
                  <w:p w14:paraId="5F29A968" w14:textId="5C54DB83" w:rsidR="006C2B00" w:rsidRPr="006C2B00" w:rsidRDefault="006C2B00" w:rsidP="006C2B00">
                    <w:pPr>
                      <w:rPr>
                        <w:rFonts w:ascii="Calibri" w:eastAsia="Calibri" w:hAnsi="Calibri" w:cs="Calibri"/>
                        <w:noProof/>
                        <w:color w:val="000000"/>
                        <w:sz w:val="20"/>
                        <w:szCs w:val="20"/>
                      </w:rPr>
                    </w:pPr>
                    <w:r w:rsidRPr="006C2B00">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840DE"/>
    <w:multiLevelType w:val="multilevel"/>
    <w:tmpl w:val="878EEC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41BE7"/>
    <w:multiLevelType w:val="hybridMultilevel"/>
    <w:tmpl w:val="18B675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357CDF"/>
    <w:multiLevelType w:val="multilevel"/>
    <w:tmpl w:val="7640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A7DDF"/>
    <w:multiLevelType w:val="multilevel"/>
    <w:tmpl w:val="4B7091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87401C"/>
    <w:multiLevelType w:val="hybridMultilevel"/>
    <w:tmpl w:val="1B503A24"/>
    <w:lvl w:ilvl="0" w:tplc="C72204AA">
      <w:start w:val="1"/>
      <w:numFmt w:val="bullet"/>
      <w:lvlText w:val=""/>
      <w:lvlJc w:val="left"/>
      <w:pPr>
        <w:ind w:left="432" w:hanging="288"/>
      </w:pPr>
      <w:rPr>
        <w:rFonts w:ascii="Symbol" w:hAnsi="Symbol" w:hint="default"/>
      </w:rPr>
    </w:lvl>
    <w:lvl w:ilvl="1" w:tplc="59265FD6">
      <w:start w:val="1"/>
      <w:numFmt w:val="bullet"/>
      <w:lvlText w:val="o"/>
      <w:lvlJc w:val="left"/>
      <w:pPr>
        <w:ind w:left="1440" w:hanging="360"/>
      </w:pPr>
      <w:rPr>
        <w:rFonts w:ascii="Courier New" w:hAnsi="Courier New" w:hint="default"/>
      </w:rPr>
    </w:lvl>
    <w:lvl w:ilvl="2" w:tplc="0936DF66">
      <w:start w:val="1"/>
      <w:numFmt w:val="bullet"/>
      <w:lvlText w:val=""/>
      <w:lvlJc w:val="left"/>
      <w:pPr>
        <w:ind w:left="2160" w:hanging="360"/>
      </w:pPr>
      <w:rPr>
        <w:rFonts w:ascii="Wingdings" w:hAnsi="Wingdings" w:hint="default"/>
      </w:rPr>
    </w:lvl>
    <w:lvl w:ilvl="3" w:tplc="0024CBDE">
      <w:start w:val="1"/>
      <w:numFmt w:val="bullet"/>
      <w:lvlText w:val=""/>
      <w:lvlJc w:val="left"/>
      <w:pPr>
        <w:ind w:left="2880" w:hanging="360"/>
      </w:pPr>
      <w:rPr>
        <w:rFonts w:ascii="Symbol" w:hAnsi="Symbol" w:hint="default"/>
      </w:rPr>
    </w:lvl>
    <w:lvl w:ilvl="4" w:tplc="99086302">
      <w:start w:val="1"/>
      <w:numFmt w:val="bullet"/>
      <w:lvlText w:val="o"/>
      <w:lvlJc w:val="left"/>
      <w:pPr>
        <w:ind w:left="3600" w:hanging="360"/>
      </w:pPr>
      <w:rPr>
        <w:rFonts w:ascii="Courier New" w:hAnsi="Courier New" w:hint="default"/>
      </w:rPr>
    </w:lvl>
    <w:lvl w:ilvl="5" w:tplc="C8DAF60C">
      <w:start w:val="1"/>
      <w:numFmt w:val="bullet"/>
      <w:lvlText w:val=""/>
      <w:lvlJc w:val="left"/>
      <w:pPr>
        <w:ind w:left="4320" w:hanging="360"/>
      </w:pPr>
      <w:rPr>
        <w:rFonts w:ascii="Wingdings" w:hAnsi="Wingdings" w:hint="default"/>
      </w:rPr>
    </w:lvl>
    <w:lvl w:ilvl="6" w:tplc="DB1C43E8">
      <w:start w:val="1"/>
      <w:numFmt w:val="bullet"/>
      <w:lvlText w:val=""/>
      <w:lvlJc w:val="left"/>
      <w:pPr>
        <w:ind w:left="5040" w:hanging="360"/>
      </w:pPr>
      <w:rPr>
        <w:rFonts w:ascii="Symbol" w:hAnsi="Symbol" w:hint="default"/>
      </w:rPr>
    </w:lvl>
    <w:lvl w:ilvl="7" w:tplc="A6CC6EB6">
      <w:start w:val="1"/>
      <w:numFmt w:val="bullet"/>
      <w:lvlText w:val="o"/>
      <w:lvlJc w:val="left"/>
      <w:pPr>
        <w:ind w:left="5760" w:hanging="360"/>
      </w:pPr>
      <w:rPr>
        <w:rFonts w:ascii="Courier New" w:hAnsi="Courier New" w:hint="default"/>
      </w:rPr>
    </w:lvl>
    <w:lvl w:ilvl="8" w:tplc="9D928E6E">
      <w:start w:val="1"/>
      <w:numFmt w:val="bullet"/>
      <w:lvlText w:val=""/>
      <w:lvlJc w:val="left"/>
      <w:pPr>
        <w:ind w:left="6480" w:hanging="360"/>
      </w:pPr>
      <w:rPr>
        <w:rFonts w:ascii="Wingdings" w:hAnsi="Wingdings" w:hint="default"/>
      </w:rPr>
    </w:lvl>
  </w:abstractNum>
  <w:abstractNum w:abstractNumId="5" w15:restartNumberingAfterBreak="0">
    <w:nsid w:val="39082244"/>
    <w:multiLevelType w:val="multilevel"/>
    <w:tmpl w:val="73785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B17B05"/>
    <w:multiLevelType w:val="hybridMultilevel"/>
    <w:tmpl w:val="ABB0EA3E"/>
    <w:lvl w:ilvl="0" w:tplc="04090001">
      <w:start w:val="1"/>
      <w:numFmt w:val="bullet"/>
      <w:lvlText w:val=""/>
      <w:lvlJc w:val="left"/>
      <w:pPr>
        <w:ind w:left="1310" w:hanging="360"/>
      </w:pPr>
      <w:rPr>
        <w:rFonts w:ascii="Symbol" w:hAnsi="Symbol" w:hint="default"/>
      </w:rPr>
    </w:lvl>
    <w:lvl w:ilvl="1" w:tplc="04090003" w:tentative="1">
      <w:start w:val="1"/>
      <w:numFmt w:val="bullet"/>
      <w:lvlText w:val="o"/>
      <w:lvlJc w:val="left"/>
      <w:pPr>
        <w:ind w:left="2030" w:hanging="360"/>
      </w:pPr>
      <w:rPr>
        <w:rFonts w:ascii="Courier New" w:hAnsi="Courier New" w:cs="Courier New" w:hint="default"/>
      </w:rPr>
    </w:lvl>
    <w:lvl w:ilvl="2" w:tplc="04090005" w:tentative="1">
      <w:start w:val="1"/>
      <w:numFmt w:val="bullet"/>
      <w:lvlText w:val=""/>
      <w:lvlJc w:val="left"/>
      <w:pPr>
        <w:ind w:left="2750" w:hanging="360"/>
      </w:pPr>
      <w:rPr>
        <w:rFonts w:ascii="Wingdings" w:hAnsi="Wingdings" w:hint="default"/>
      </w:rPr>
    </w:lvl>
    <w:lvl w:ilvl="3" w:tplc="04090001" w:tentative="1">
      <w:start w:val="1"/>
      <w:numFmt w:val="bullet"/>
      <w:lvlText w:val=""/>
      <w:lvlJc w:val="left"/>
      <w:pPr>
        <w:ind w:left="3470" w:hanging="360"/>
      </w:pPr>
      <w:rPr>
        <w:rFonts w:ascii="Symbol" w:hAnsi="Symbol" w:hint="default"/>
      </w:rPr>
    </w:lvl>
    <w:lvl w:ilvl="4" w:tplc="04090003" w:tentative="1">
      <w:start w:val="1"/>
      <w:numFmt w:val="bullet"/>
      <w:lvlText w:val="o"/>
      <w:lvlJc w:val="left"/>
      <w:pPr>
        <w:ind w:left="4190" w:hanging="360"/>
      </w:pPr>
      <w:rPr>
        <w:rFonts w:ascii="Courier New" w:hAnsi="Courier New" w:cs="Courier New" w:hint="default"/>
      </w:rPr>
    </w:lvl>
    <w:lvl w:ilvl="5" w:tplc="04090005" w:tentative="1">
      <w:start w:val="1"/>
      <w:numFmt w:val="bullet"/>
      <w:lvlText w:val=""/>
      <w:lvlJc w:val="left"/>
      <w:pPr>
        <w:ind w:left="4910" w:hanging="360"/>
      </w:pPr>
      <w:rPr>
        <w:rFonts w:ascii="Wingdings" w:hAnsi="Wingdings" w:hint="default"/>
      </w:rPr>
    </w:lvl>
    <w:lvl w:ilvl="6" w:tplc="04090001" w:tentative="1">
      <w:start w:val="1"/>
      <w:numFmt w:val="bullet"/>
      <w:lvlText w:val=""/>
      <w:lvlJc w:val="left"/>
      <w:pPr>
        <w:ind w:left="5630" w:hanging="360"/>
      </w:pPr>
      <w:rPr>
        <w:rFonts w:ascii="Symbol" w:hAnsi="Symbol" w:hint="default"/>
      </w:rPr>
    </w:lvl>
    <w:lvl w:ilvl="7" w:tplc="04090003" w:tentative="1">
      <w:start w:val="1"/>
      <w:numFmt w:val="bullet"/>
      <w:lvlText w:val="o"/>
      <w:lvlJc w:val="left"/>
      <w:pPr>
        <w:ind w:left="6350" w:hanging="360"/>
      </w:pPr>
      <w:rPr>
        <w:rFonts w:ascii="Courier New" w:hAnsi="Courier New" w:cs="Courier New" w:hint="default"/>
      </w:rPr>
    </w:lvl>
    <w:lvl w:ilvl="8" w:tplc="04090005" w:tentative="1">
      <w:start w:val="1"/>
      <w:numFmt w:val="bullet"/>
      <w:lvlText w:val=""/>
      <w:lvlJc w:val="left"/>
      <w:pPr>
        <w:ind w:left="7070" w:hanging="360"/>
      </w:pPr>
      <w:rPr>
        <w:rFonts w:ascii="Wingdings" w:hAnsi="Wingdings" w:hint="default"/>
      </w:rPr>
    </w:lvl>
  </w:abstractNum>
  <w:abstractNum w:abstractNumId="7" w15:restartNumberingAfterBreak="0">
    <w:nsid w:val="3A4F2818"/>
    <w:multiLevelType w:val="hybridMultilevel"/>
    <w:tmpl w:val="D4A2CEAA"/>
    <w:lvl w:ilvl="0" w:tplc="F7C0261E">
      <w:start w:val="1"/>
      <w:numFmt w:val="bullet"/>
      <w:lvlText w:val=""/>
      <w:lvlJc w:val="left"/>
      <w:pPr>
        <w:ind w:left="720" w:hanging="360"/>
      </w:pPr>
      <w:rPr>
        <w:rFonts w:ascii="Symbol" w:hAnsi="Symbol" w:hint="default"/>
      </w:rPr>
    </w:lvl>
    <w:lvl w:ilvl="1" w:tplc="AD320CDE">
      <w:start w:val="1"/>
      <w:numFmt w:val="bullet"/>
      <w:lvlText w:val="o"/>
      <w:lvlJc w:val="left"/>
      <w:pPr>
        <w:ind w:left="1440" w:hanging="360"/>
      </w:pPr>
      <w:rPr>
        <w:rFonts w:ascii="Courier New" w:hAnsi="Courier New" w:hint="default"/>
      </w:rPr>
    </w:lvl>
    <w:lvl w:ilvl="2" w:tplc="F4CA9C92">
      <w:start w:val="1"/>
      <w:numFmt w:val="bullet"/>
      <w:lvlText w:val=""/>
      <w:lvlJc w:val="left"/>
      <w:pPr>
        <w:ind w:left="2160" w:hanging="360"/>
      </w:pPr>
      <w:rPr>
        <w:rFonts w:ascii="Wingdings" w:hAnsi="Wingdings" w:hint="default"/>
      </w:rPr>
    </w:lvl>
    <w:lvl w:ilvl="3" w:tplc="041E4502">
      <w:start w:val="1"/>
      <w:numFmt w:val="bullet"/>
      <w:lvlText w:val=""/>
      <w:lvlJc w:val="left"/>
      <w:pPr>
        <w:ind w:left="2880" w:hanging="360"/>
      </w:pPr>
      <w:rPr>
        <w:rFonts w:ascii="Symbol" w:hAnsi="Symbol" w:hint="default"/>
      </w:rPr>
    </w:lvl>
    <w:lvl w:ilvl="4" w:tplc="EA7C5AB4">
      <w:start w:val="1"/>
      <w:numFmt w:val="bullet"/>
      <w:lvlText w:val="o"/>
      <w:lvlJc w:val="left"/>
      <w:pPr>
        <w:ind w:left="3600" w:hanging="360"/>
      </w:pPr>
      <w:rPr>
        <w:rFonts w:ascii="Courier New" w:hAnsi="Courier New" w:hint="default"/>
      </w:rPr>
    </w:lvl>
    <w:lvl w:ilvl="5" w:tplc="1D349A28">
      <w:start w:val="1"/>
      <w:numFmt w:val="bullet"/>
      <w:lvlText w:val=""/>
      <w:lvlJc w:val="left"/>
      <w:pPr>
        <w:ind w:left="4320" w:hanging="360"/>
      </w:pPr>
      <w:rPr>
        <w:rFonts w:ascii="Wingdings" w:hAnsi="Wingdings" w:hint="default"/>
      </w:rPr>
    </w:lvl>
    <w:lvl w:ilvl="6" w:tplc="83FE1B00">
      <w:start w:val="1"/>
      <w:numFmt w:val="bullet"/>
      <w:lvlText w:val=""/>
      <w:lvlJc w:val="left"/>
      <w:pPr>
        <w:ind w:left="5040" w:hanging="360"/>
      </w:pPr>
      <w:rPr>
        <w:rFonts w:ascii="Symbol" w:hAnsi="Symbol" w:hint="default"/>
      </w:rPr>
    </w:lvl>
    <w:lvl w:ilvl="7" w:tplc="5824F0AC">
      <w:start w:val="1"/>
      <w:numFmt w:val="bullet"/>
      <w:lvlText w:val="o"/>
      <w:lvlJc w:val="left"/>
      <w:pPr>
        <w:ind w:left="5760" w:hanging="360"/>
      </w:pPr>
      <w:rPr>
        <w:rFonts w:ascii="Courier New" w:hAnsi="Courier New" w:hint="default"/>
      </w:rPr>
    </w:lvl>
    <w:lvl w:ilvl="8" w:tplc="85385F22">
      <w:start w:val="1"/>
      <w:numFmt w:val="bullet"/>
      <w:lvlText w:val=""/>
      <w:lvlJc w:val="left"/>
      <w:pPr>
        <w:ind w:left="6480" w:hanging="360"/>
      </w:pPr>
      <w:rPr>
        <w:rFonts w:ascii="Wingdings" w:hAnsi="Wingdings" w:hint="default"/>
      </w:rPr>
    </w:lvl>
  </w:abstractNum>
  <w:abstractNum w:abstractNumId="8" w15:restartNumberingAfterBreak="0">
    <w:nsid w:val="41230DE8"/>
    <w:multiLevelType w:val="multilevel"/>
    <w:tmpl w:val="6C5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B200C"/>
    <w:multiLevelType w:val="multilevel"/>
    <w:tmpl w:val="4CD04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52718"/>
    <w:multiLevelType w:val="hybridMultilevel"/>
    <w:tmpl w:val="1BC224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9E9B232"/>
    <w:multiLevelType w:val="hybridMultilevel"/>
    <w:tmpl w:val="871E1EDE"/>
    <w:lvl w:ilvl="0" w:tplc="A694E42E">
      <w:start w:val="1"/>
      <w:numFmt w:val="bullet"/>
      <w:lvlText w:val=""/>
      <w:lvlJc w:val="left"/>
      <w:pPr>
        <w:ind w:left="432" w:hanging="288"/>
      </w:pPr>
      <w:rPr>
        <w:rFonts w:ascii="Symbol" w:hAnsi="Symbol" w:hint="default"/>
      </w:rPr>
    </w:lvl>
    <w:lvl w:ilvl="1" w:tplc="3E34B092">
      <w:start w:val="1"/>
      <w:numFmt w:val="bullet"/>
      <w:lvlText w:val="o"/>
      <w:lvlJc w:val="left"/>
      <w:pPr>
        <w:ind w:left="1440" w:hanging="360"/>
      </w:pPr>
      <w:rPr>
        <w:rFonts w:ascii="Courier New" w:hAnsi="Courier New" w:hint="default"/>
      </w:rPr>
    </w:lvl>
    <w:lvl w:ilvl="2" w:tplc="6FBAC990">
      <w:start w:val="1"/>
      <w:numFmt w:val="bullet"/>
      <w:lvlText w:val=""/>
      <w:lvlJc w:val="left"/>
      <w:pPr>
        <w:ind w:left="2160" w:hanging="360"/>
      </w:pPr>
      <w:rPr>
        <w:rFonts w:ascii="Wingdings" w:hAnsi="Wingdings" w:hint="default"/>
      </w:rPr>
    </w:lvl>
    <w:lvl w:ilvl="3" w:tplc="152475BE">
      <w:start w:val="1"/>
      <w:numFmt w:val="bullet"/>
      <w:lvlText w:val=""/>
      <w:lvlJc w:val="left"/>
      <w:pPr>
        <w:ind w:left="2880" w:hanging="360"/>
      </w:pPr>
      <w:rPr>
        <w:rFonts w:ascii="Symbol" w:hAnsi="Symbol" w:hint="default"/>
      </w:rPr>
    </w:lvl>
    <w:lvl w:ilvl="4" w:tplc="77D48BC0">
      <w:start w:val="1"/>
      <w:numFmt w:val="bullet"/>
      <w:lvlText w:val="o"/>
      <w:lvlJc w:val="left"/>
      <w:pPr>
        <w:ind w:left="3600" w:hanging="360"/>
      </w:pPr>
      <w:rPr>
        <w:rFonts w:ascii="Courier New" w:hAnsi="Courier New" w:hint="default"/>
      </w:rPr>
    </w:lvl>
    <w:lvl w:ilvl="5" w:tplc="E4704DC2">
      <w:start w:val="1"/>
      <w:numFmt w:val="bullet"/>
      <w:lvlText w:val=""/>
      <w:lvlJc w:val="left"/>
      <w:pPr>
        <w:ind w:left="4320" w:hanging="360"/>
      </w:pPr>
      <w:rPr>
        <w:rFonts w:ascii="Wingdings" w:hAnsi="Wingdings" w:hint="default"/>
      </w:rPr>
    </w:lvl>
    <w:lvl w:ilvl="6" w:tplc="730C1C9E">
      <w:start w:val="1"/>
      <w:numFmt w:val="bullet"/>
      <w:lvlText w:val=""/>
      <w:lvlJc w:val="left"/>
      <w:pPr>
        <w:ind w:left="5040" w:hanging="360"/>
      </w:pPr>
      <w:rPr>
        <w:rFonts w:ascii="Symbol" w:hAnsi="Symbol" w:hint="default"/>
      </w:rPr>
    </w:lvl>
    <w:lvl w:ilvl="7" w:tplc="5B6E23B0">
      <w:start w:val="1"/>
      <w:numFmt w:val="bullet"/>
      <w:lvlText w:val="o"/>
      <w:lvlJc w:val="left"/>
      <w:pPr>
        <w:ind w:left="5760" w:hanging="360"/>
      </w:pPr>
      <w:rPr>
        <w:rFonts w:ascii="Courier New" w:hAnsi="Courier New" w:hint="default"/>
      </w:rPr>
    </w:lvl>
    <w:lvl w:ilvl="8" w:tplc="6F3CAD8A">
      <w:start w:val="1"/>
      <w:numFmt w:val="bullet"/>
      <w:lvlText w:val=""/>
      <w:lvlJc w:val="left"/>
      <w:pPr>
        <w:ind w:left="6480" w:hanging="360"/>
      </w:pPr>
      <w:rPr>
        <w:rFonts w:ascii="Wingdings" w:hAnsi="Wingdings" w:hint="default"/>
      </w:rPr>
    </w:lvl>
  </w:abstractNum>
  <w:abstractNum w:abstractNumId="12" w15:restartNumberingAfterBreak="0">
    <w:nsid w:val="4C797FFB"/>
    <w:multiLevelType w:val="hybridMultilevel"/>
    <w:tmpl w:val="22B4D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8137D9"/>
    <w:multiLevelType w:val="hybridMultilevel"/>
    <w:tmpl w:val="70061B8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57727D2C"/>
    <w:multiLevelType w:val="hybridMultilevel"/>
    <w:tmpl w:val="BD6449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40014EC"/>
    <w:multiLevelType w:val="hybridMultilevel"/>
    <w:tmpl w:val="3790FA28"/>
    <w:lvl w:ilvl="0" w:tplc="7F263E7A">
      <w:start w:val="1"/>
      <w:numFmt w:val="bullet"/>
      <w:lvlText w:val=""/>
      <w:lvlJc w:val="left"/>
      <w:pPr>
        <w:ind w:left="432" w:hanging="288"/>
      </w:pPr>
      <w:rPr>
        <w:rFonts w:ascii="Symbol" w:hAnsi="Symbol" w:hint="default"/>
      </w:rPr>
    </w:lvl>
    <w:lvl w:ilvl="1" w:tplc="4778279E">
      <w:start w:val="1"/>
      <w:numFmt w:val="bullet"/>
      <w:lvlText w:val="o"/>
      <w:lvlJc w:val="left"/>
      <w:pPr>
        <w:ind w:left="1440" w:hanging="360"/>
      </w:pPr>
      <w:rPr>
        <w:rFonts w:ascii="Courier New" w:hAnsi="Courier New" w:hint="default"/>
      </w:rPr>
    </w:lvl>
    <w:lvl w:ilvl="2" w:tplc="3732DBB0">
      <w:start w:val="1"/>
      <w:numFmt w:val="bullet"/>
      <w:lvlText w:val=""/>
      <w:lvlJc w:val="left"/>
      <w:pPr>
        <w:ind w:left="2160" w:hanging="360"/>
      </w:pPr>
      <w:rPr>
        <w:rFonts w:ascii="Wingdings" w:hAnsi="Wingdings" w:hint="default"/>
      </w:rPr>
    </w:lvl>
    <w:lvl w:ilvl="3" w:tplc="73F879E2">
      <w:start w:val="1"/>
      <w:numFmt w:val="bullet"/>
      <w:lvlText w:val=""/>
      <w:lvlJc w:val="left"/>
      <w:pPr>
        <w:ind w:left="2880" w:hanging="360"/>
      </w:pPr>
      <w:rPr>
        <w:rFonts w:ascii="Symbol" w:hAnsi="Symbol" w:hint="default"/>
      </w:rPr>
    </w:lvl>
    <w:lvl w:ilvl="4" w:tplc="4E047C46">
      <w:start w:val="1"/>
      <w:numFmt w:val="bullet"/>
      <w:lvlText w:val="o"/>
      <w:lvlJc w:val="left"/>
      <w:pPr>
        <w:ind w:left="3600" w:hanging="360"/>
      </w:pPr>
      <w:rPr>
        <w:rFonts w:ascii="Courier New" w:hAnsi="Courier New" w:hint="default"/>
      </w:rPr>
    </w:lvl>
    <w:lvl w:ilvl="5" w:tplc="F6C8055A">
      <w:start w:val="1"/>
      <w:numFmt w:val="bullet"/>
      <w:lvlText w:val=""/>
      <w:lvlJc w:val="left"/>
      <w:pPr>
        <w:ind w:left="4320" w:hanging="360"/>
      </w:pPr>
      <w:rPr>
        <w:rFonts w:ascii="Wingdings" w:hAnsi="Wingdings" w:hint="default"/>
      </w:rPr>
    </w:lvl>
    <w:lvl w:ilvl="6" w:tplc="8692F22A">
      <w:start w:val="1"/>
      <w:numFmt w:val="bullet"/>
      <w:lvlText w:val=""/>
      <w:lvlJc w:val="left"/>
      <w:pPr>
        <w:ind w:left="5040" w:hanging="360"/>
      </w:pPr>
      <w:rPr>
        <w:rFonts w:ascii="Symbol" w:hAnsi="Symbol" w:hint="default"/>
      </w:rPr>
    </w:lvl>
    <w:lvl w:ilvl="7" w:tplc="FAF05A56">
      <w:start w:val="1"/>
      <w:numFmt w:val="bullet"/>
      <w:lvlText w:val="o"/>
      <w:lvlJc w:val="left"/>
      <w:pPr>
        <w:ind w:left="5760" w:hanging="360"/>
      </w:pPr>
      <w:rPr>
        <w:rFonts w:ascii="Courier New" w:hAnsi="Courier New" w:hint="default"/>
      </w:rPr>
    </w:lvl>
    <w:lvl w:ilvl="8" w:tplc="F9328F76">
      <w:start w:val="1"/>
      <w:numFmt w:val="bullet"/>
      <w:lvlText w:val=""/>
      <w:lvlJc w:val="left"/>
      <w:pPr>
        <w:ind w:left="6480" w:hanging="360"/>
      </w:pPr>
      <w:rPr>
        <w:rFonts w:ascii="Wingdings" w:hAnsi="Wingdings" w:hint="default"/>
      </w:rPr>
    </w:lvl>
  </w:abstractNum>
  <w:abstractNum w:abstractNumId="16" w15:restartNumberingAfterBreak="0">
    <w:nsid w:val="71366F8F"/>
    <w:multiLevelType w:val="multilevel"/>
    <w:tmpl w:val="1D605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8A4125"/>
    <w:multiLevelType w:val="multilevel"/>
    <w:tmpl w:val="B77A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53EF8"/>
    <w:multiLevelType w:val="hybridMultilevel"/>
    <w:tmpl w:val="D410E1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892F58"/>
    <w:multiLevelType w:val="multilevel"/>
    <w:tmpl w:val="3A680E88"/>
    <w:lvl w:ilvl="0">
      <w:start w:val="1"/>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1331599">
    <w:abstractNumId w:val="7"/>
  </w:num>
  <w:num w:numId="2" w16cid:durableId="1546256607">
    <w:abstractNumId w:val="11"/>
  </w:num>
  <w:num w:numId="3" w16cid:durableId="1266305535">
    <w:abstractNumId w:val="15"/>
  </w:num>
  <w:num w:numId="4" w16cid:durableId="191649192">
    <w:abstractNumId w:val="4"/>
  </w:num>
  <w:num w:numId="5" w16cid:durableId="1149832208">
    <w:abstractNumId w:val="8"/>
  </w:num>
  <w:num w:numId="6" w16cid:durableId="93982223">
    <w:abstractNumId w:val="17"/>
  </w:num>
  <w:num w:numId="7" w16cid:durableId="657926202">
    <w:abstractNumId w:val="0"/>
  </w:num>
  <w:num w:numId="8" w16cid:durableId="1404989375">
    <w:abstractNumId w:val="0"/>
    <w:lvlOverride w:ilvl="1">
      <w:lvl w:ilvl="1">
        <w:numFmt w:val="lowerLetter"/>
        <w:lvlText w:val="%2."/>
        <w:lvlJc w:val="left"/>
      </w:lvl>
    </w:lvlOverride>
  </w:num>
  <w:num w:numId="9" w16cid:durableId="472673477">
    <w:abstractNumId w:val="0"/>
    <w:lvlOverride w:ilvl="1">
      <w:lvl w:ilvl="1">
        <w:numFmt w:val="lowerLetter"/>
        <w:lvlText w:val="%2."/>
        <w:lvlJc w:val="left"/>
      </w:lvl>
    </w:lvlOverride>
  </w:num>
  <w:num w:numId="10" w16cid:durableId="1500000876">
    <w:abstractNumId w:val="0"/>
    <w:lvlOverride w:ilvl="1">
      <w:lvl w:ilvl="1">
        <w:numFmt w:val="lowerLetter"/>
        <w:lvlText w:val="%2."/>
        <w:lvlJc w:val="left"/>
      </w:lvl>
    </w:lvlOverride>
  </w:num>
  <w:num w:numId="11" w16cid:durableId="1686395642">
    <w:abstractNumId w:val="3"/>
  </w:num>
  <w:num w:numId="12" w16cid:durableId="478232138">
    <w:abstractNumId w:val="3"/>
    <w:lvlOverride w:ilvl="1">
      <w:lvl w:ilvl="1">
        <w:numFmt w:val="lowerLetter"/>
        <w:lvlText w:val="%2."/>
        <w:lvlJc w:val="left"/>
      </w:lvl>
    </w:lvlOverride>
  </w:num>
  <w:num w:numId="13" w16cid:durableId="1344016958">
    <w:abstractNumId w:val="3"/>
    <w:lvlOverride w:ilvl="1">
      <w:lvl w:ilvl="1">
        <w:numFmt w:val="lowerLetter"/>
        <w:lvlText w:val="%2."/>
        <w:lvlJc w:val="left"/>
      </w:lvl>
    </w:lvlOverride>
  </w:num>
  <w:num w:numId="14" w16cid:durableId="1458718402">
    <w:abstractNumId w:val="3"/>
    <w:lvlOverride w:ilvl="1">
      <w:lvl w:ilvl="1">
        <w:numFmt w:val="lowerLetter"/>
        <w:lvlText w:val="%2."/>
        <w:lvlJc w:val="left"/>
      </w:lvl>
    </w:lvlOverride>
  </w:num>
  <w:num w:numId="15" w16cid:durableId="2017070831">
    <w:abstractNumId w:val="3"/>
    <w:lvlOverride w:ilvl="1">
      <w:lvl w:ilvl="1">
        <w:numFmt w:val="lowerLetter"/>
        <w:lvlText w:val="%2."/>
        <w:lvlJc w:val="left"/>
      </w:lvl>
    </w:lvlOverride>
  </w:num>
  <w:num w:numId="16" w16cid:durableId="357312292">
    <w:abstractNumId w:val="3"/>
    <w:lvlOverride w:ilvl="1">
      <w:lvl w:ilvl="1">
        <w:numFmt w:val="lowerLetter"/>
        <w:lvlText w:val="%2."/>
        <w:lvlJc w:val="left"/>
      </w:lvl>
    </w:lvlOverride>
  </w:num>
  <w:num w:numId="17" w16cid:durableId="1847741708">
    <w:abstractNumId w:val="18"/>
  </w:num>
  <w:num w:numId="18" w16cid:durableId="1122532015">
    <w:abstractNumId w:val="9"/>
    <w:lvlOverride w:ilvl="0">
      <w:startOverride w:val="1"/>
    </w:lvlOverride>
  </w:num>
  <w:num w:numId="19" w16cid:durableId="304748190">
    <w:abstractNumId w:val="16"/>
    <w:lvlOverride w:ilvl="0">
      <w:startOverride w:val="1"/>
    </w:lvlOverride>
  </w:num>
  <w:num w:numId="20" w16cid:durableId="2041083976">
    <w:abstractNumId w:val="5"/>
    <w:lvlOverride w:ilvl="0">
      <w:startOverride w:val="4"/>
    </w:lvlOverride>
  </w:num>
  <w:num w:numId="21" w16cid:durableId="953824698">
    <w:abstractNumId w:val="13"/>
  </w:num>
  <w:num w:numId="22" w16cid:durableId="1661348857">
    <w:abstractNumId w:val="6"/>
  </w:num>
  <w:num w:numId="23" w16cid:durableId="794719104">
    <w:abstractNumId w:val="2"/>
  </w:num>
  <w:num w:numId="24" w16cid:durableId="1729382564">
    <w:abstractNumId w:val="1"/>
  </w:num>
  <w:num w:numId="25" w16cid:durableId="1129514629">
    <w:abstractNumId w:val="10"/>
  </w:num>
  <w:num w:numId="26" w16cid:durableId="333653119">
    <w:abstractNumId w:val="12"/>
  </w:num>
  <w:num w:numId="27" w16cid:durableId="1228029751">
    <w:abstractNumId w:val="14"/>
  </w:num>
  <w:num w:numId="28" w16cid:durableId="180557491">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seph Tilley">
    <w15:presenceInfo w15:providerId="AD" w15:userId="S::joseph.tilley@oracle.com::a3b514f1-4c27-4690-a598-3dafe8ef16d7"/>
  </w15:person>
  <w15:person w15:author="Ahmad Khalaf">
    <w15:presenceInfo w15:providerId="AD" w15:userId="S::ahmad.khalaf@oracle.com::0ad5139e-d8d0-407f-b823-a9dc3b2844e0"/>
  </w15:person>
  <w15:person w15:author="Ross Sharrott">
    <w15:presenceInfo w15:providerId="AD" w15:userId="S::ross.sharrott@oracle.com::bf3234e9-c893-4723-a799-97e471567be8"/>
  </w15:person>
  <w15:person w15:author="Rohit Nabh">
    <w15:presenceInfo w15:providerId="AD" w15:userId="S::rohit.nabh@oracle.com::7c7c4cf4-8a1e-4be7-941b-1b473562acbb"/>
  </w15:person>
  <w15:person w15:author="Prasanth Mangalasseril Prasad">
    <w15:presenceInfo w15:providerId="AD" w15:userId="S::prasanth.prasad@oracle.com::d1ff6183-481e-4ac3-895f-40e7f1d885f7"/>
  </w15:person>
  <w15:person w15:author="Joe Sheehan">
    <w15:presenceInfo w15:providerId="AD" w15:userId="S::joseph.sheehan@oracle.com::aa90fb77-5dc6-4464-82cb-657c576b1a14"/>
  </w15:person>
  <w15:person w15:author="John Nogrady">
    <w15:presenceInfo w15:providerId="AD" w15:userId="S::john.nogrady@oracle.com::ace3bf9d-049c-4d15-baca-3567a9717846"/>
  </w15:person>
  <w15:person w15:author="Viswa Mohanty">
    <w15:presenceInfo w15:providerId="AD" w15:userId="S::viswa.mohanty@oracle.com::1fc7cf23-57fb-4d3d-aebd-6533e1d4c933"/>
  </w15:person>
  <w15:person w15:author="Matt Ferguson">
    <w15:presenceInfo w15:providerId="AD" w15:userId="S::matt.ferguson@oracle.com::ae390744-c156-45d7-a982-94de157988f6"/>
  </w15:person>
  <w15:person w15:author="Gururaj Mohan">
    <w15:presenceInfo w15:providerId="AD" w15:userId="S::gururaj.mohan@oracle.com::c97c9afb-a6c2-4b6b-96fe-0d54d1272f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855"/>
    <w:rsid w:val="000E0A42"/>
    <w:rsid w:val="000F425C"/>
    <w:rsid w:val="00143913"/>
    <w:rsid w:val="001D4FDC"/>
    <w:rsid w:val="001F26F6"/>
    <w:rsid w:val="001F4F2E"/>
    <w:rsid w:val="00200CC3"/>
    <w:rsid w:val="00211991"/>
    <w:rsid w:val="00222D0F"/>
    <w:rsid w:val="0025453E"/>
    <w:rsid w:val="002B3EBE"/>
    <w:rsid w:val="002E31DC"/>
    <w:rsid w:val="0033261A"/>
    <w:rsid w:val="00341933"/>
    <w:rsid w:val="0034422F"/>
    <w:rsid w:val="00360E0D"/>
    <w:rsid w:val="00366277"/>
    <w:rsid w:val="00373295"/>
    <w:rsid w:val="003A53C9"/>
    <w:rsid w:val="003A5553"/>
    <w:rsid w:val="003A5F1B"/>
    <w:rsid w:val="003D69A6"/>
    <w:rsid w:val="003E3F85"/>
    <w:rsid w:val="00427A66"/>
    <w:rsid w:val="00443197"/>
    <w:rsid w:val="004569C6"/>
    <w:rsid w:val="00461F09"/>
    <w:rsid w:val="00465845"/>
    <w:rsid w:val="00467743"/>
    <w:rsid w:val="00495E06"/>
    <w:rsid w:val="004A7205"/>
    <w:rsid w:val="004B383F"/>
    <w:rsid w:val="004B3BB3"/>
    <w:rsid w:val="004B43F4"/>
    <w:rsid w:val="004D6F3C"/>
    <w:rsid w:val="004F0BB2"/>
    <w:rsid w:val="0052107F"/>
    <w:rsid w:val="005559BD"/>
    <w:rsid w:val="00560136"/>
    <w:rsid w:val="00570A6B"/>
    <w:rsid w:val="005C0239"/>
    <w:rsid w:val="00623D56"/>
    <w:rsid w:val="006556BF"/>
    <w:rsid w:val="00674175"/>
    <w:rsid w:val="00680978"/>
    <w:rsid w:val="00694F78"/>
    <w:rsid w:val="006C2B00"/>
    <w:rsid w:val="006E667F"/>
    <w:rsid w:val="0075200D"/>
    <w:rsid w:val="00772855"/>
    <w:rsid w:val="007B1BB5"/>
    <w:rsid w:val="007E2BE1"/>
    <w:rsid w:val="00850176"/>
    <w:rsid w:val="008F30A7"/>
    <w:rsid w:val="00914AF1"/>
    <w:rsid w:val="00961955"/>
    <w:rsid w:val="00983169"/>
    <w:rsid w:val="009C3067"/>
    <w:rsid w:val="009D2FD5"/>
    <w:rsid w:val="009F26BE"/>
    <w:rsid w:val="00A272EF"/>
    <w:rsid w:val="00A51889"/>
    <w:rsid w:val="00A75A52"/>
    <w:rsid w:val="00A94DA5"/>
    <w:rsid w:val="00AB3F85"/>
    <w:rsid w:val="00AC0AED"/>
    <w:rsid w:val="00AC61FE"/>
    <w:rsid w:val="00AD72F2"/>
    <w:rsid w:val="00AF5647"/>
    <w:rsid w:val="00B17479"/>
    <w:rsid w:val="00B23254"/>
    <w:rsid w:val="00B62D13"/>
    <w:rsid w:val="00B71AD5"/>
    <w:rsid w:val="00B73BCF"/>
    <w:rsid w:val="00B85684"/>
    <w:rsid w:val="00BA61B7"/>
    <w:rsid w:val="00BA6A31"/>
    <w:rsid w:val="00C4026D"/>
    <w:rsid w:val="00C5160A"/>
    <w:rsid w:val="00C761D6"/>
    <w:rsid w:val="00C86CAD"/>
    <w:rsid w:val="00C94085"/>
    <w:rsid w:val="00D25E48"/>
    <w:rsid w:val="00D65E25"/>
    <w:rsid w:val="00D855AB"/>
    <w:rsid w:val="00DC0980"/>
    <w:rsid w:val="00E04F73"/>
    <w:rsid w:val="00E32867"/>
    <w:rsid w:val="00E3392B"/>
    <w:rsid w:val="00E36B64"/>
    <w:rsid w:val="00E41B4F"/>
    <w:rsid w:val="00EB0669"/>
    <w:rsid w:val="00EB7C19"/>
    <w:rsid w:val="00EF74B9"/>
    <w:rsid w:val="00F00769"/>
    <w:rsid w:val="00F04E8B"/>
    <w:rsid w:val="00F769F1"/>
    <w:rsid w:val="00F84B62"/>
    <w:rsid w:val="00F922C2"/>
    <w:rsid w:val="00FD2C3C"/>
    <w:rsid w:val="00FF21AE"/>
    <w:rsid w:val="02C83F36"/>
    <w:rsid w:val="0D163D8F"/>
    <w:rsid w:val="0E28E7CF"/>
    <w:rsid w:val="178FC526"/>
    <w:rsid w:val="17ED63B0"/>
    <w:rsid w:val="25F01714"/>
    <w:rsid w:val="260ACD71"/>
    <w:rsid w:val="2C6B9BE3"/>
    <w:rsid w:val="2E7A603B"/>
    <w:rsid w:val="3351C219"/>
    <w:rsid w:val="390824A2"/>
    <w:rsid w:val="4D5B9A44"/>
    <w:rsid w:val="538706C9"/>
    <w:rsid w:val="563BE429"/>
    <w:rsid w:val="5C05BF00"/>
    <w:rsid w:val="6369422E"/>
    <w:rsid w:val="63ED9DC4"/>
    <w:rsid w:val="66BF4239"/>
    <w:rsid w:val="6BC9469B"/>
    <w:rsid w:val="6CAD4C75"/>
    <w:rsid w:val="70E4FF97"/>
    <w:rsid w:val="734FAD3D"/>
    <w:rsid w:val="7A053939"/>
    <w:rsid w:val="7C70CD17"/>
    <w:rsid w:val="7DB999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91E29"/>
  <w15:chartTrackingRefBased/>
  <w15:docId w15:val="{77DEA67A-E357-48AF-93BE-4ACF8D1DB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2EF"/>
  </w:style>
  <w:style w:type="paragraph" w:styleId="Heading1">
    <w:name w:val="heading 1"/>
    <w:basedOn w:val="Normal"/>
    <w:next w:val="Normal"/>
    <w:link w:val="Heading1Char"/>
    <w:uiPriority w:val="9"/>
    <w:qFormat/>
    <w:rsid w:val="00772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2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2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8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8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8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8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2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2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855"/>
    <w:rPr>
      <w:rFonts w:eastAsiaTheme="majorEastAsia" w:cstheme="majorBidi"/>
      <w:color w:val="272727" w:themeColor="text1" w:themeTint="D8"/>
    </w:rPr>
  </w:style>
  <w:style w:type="paragraph" w:styleId="Title">
    <w:name w:val="Title"/>
    <w:basedOn w:val="Normal"/>
    <w:next w:val="Normal"/>
    <w:link w:val="TitleChar"/>
    <w:uiPriority w:val="10"/>
    <w:qFormat/>
    <w:rsid w:val="007728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8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8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2855"/>
    <w:rPr>
      <w:i/>
      <w:iCs/>
      <w:color w:val="404040" w:themeColor="text1" w:themeTint="BF"/>
    </w:rPr>
  </w:style>
  <w:style w:type="paragraph" w:styleId="ListParagraph">
    <w:name w:val="List Paragraph"/>
    <w:basedOn w:val="Normal"/>
    <w:uiPriority w:val="34"/>
    <w:qFormat/>
    <w:rsid w:val="00772855"/>
    <w:pPr>
      <w:ind w:left="720"/>
      <w:contextualSpacing/>
    </w:pPr>
  </w:style>
  <w:style w:type="character" w:styleId="IntenseEmphasis">
    <w:name w:val="Intense Emphasis"/>
    <w:basedOn w:val="DefaultParagraphFont"/>
    <w:uiPriority w:val="21"/>
    <w:qFormat/>
    <w:rsid w:val="00772855"/>
    <w:rPr>
      <w:i/>
      <w:iCs/>
      <w:color w:val="0F4761" w:themeColor="accent1" w:themeShade="BF"/>
    </w:rPr>
  </w:style>
  <w:style w:type="paragraph" w:styleId="IntenseQuote">
    <w:name w:val="Intense Quote"/>
    <w:basedOn w:val="Normal"/>
    <w:next w:val="Normal"/>
    <w:link w:val="IntenseQuoteChar"/>
    <w:uiPriority w:val="30"/>
    <w:qFormat/>
    <w:rsid w:val="00772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855"/>
    <w:rPr>
      <w:i/>
      <w:iCs/>
      <w:color w:val="0F4761" w:themeColor="accent1" w:themeShade="BF"/>
    </w:rPr>
  </w:style>
  <w:style w:type="character" w:styleId="IntenseReference">
    <w:name w:val="Intense Reference"/>
    <w:basedOn w:val="DefaultParagraphFont"/>
    <w:uiPriority w:val="32"/>
    <w:qFormat/>
    <w:rsid w:val="00772855"/>
    <w:rPr>
      <w:b/>
      <w:bCs/>
      <w:smallCaps/>
      <w:color w:val="0F4761" w:themeColor="accent1" w:themeShade="BF"/>
      <w:spacing w:val="5"/>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7E2BE1"/>
    <w:rPr>
      <w:sz w:val="16"/>
      <w:szCs w:val="16"/>
    </w:rPr>
  </w:style>
  <w:style w:type="paragraph" w:styleId="CommentText">
    <w:name w:val="annotation text"/>
    <w:basedOn w:val="Normal"/>
    <w:link w:val="CommentTextChar"/>
    <w:uiPriority w:val="99"/>
    <w:semiHidden/>
    <w:unhideWhenUsed/>
    <w:rsid w:val="007E2BE1"/>
    <w:rPr>
      <w:sz w:val="20"/>
      <w:szCs w:val="20"/>
    </w:rPr>
  </w:style>
  <w:style w:type="character" w:customStyle="1" w:styleId="CommentTextChar">
    <w:name w:val="Comment Text Char"/>
    <w:basedOn w:val="DefaultParagraphFont"/>
    <w:link w:val="CommentText"/>
    <w:uiPriority w:val="99"/>
    <w:semiHidden/>
    <w:rsid w:val="007E2BE1"/>
    <w:rPr>
      <w:sz w:val="20"/>
      <w:szCs w:val="20"/>
    </w:rPr>
  </w:style>
  <w:style w:type="paragraph" w:styleId="CommentSubject">
    <w:name w:val="annotation subject"/>
    <w:basedOn w:val="CommentText"/>
    <w:next w:val="CommentText"/>
    <w:link w:val="CommentSubjectChar"/>
    <w:uiPriority w:val="99"/>
    <w:semiHidden/>
    <w:unhideWhenUsed/>
    <w:rsid w:val="007E2BE1"/>
    <w:rPr>
      <w:b/>
      <w:bCs/>
    </w:rPr>
  </w:style>
  <w:style w:type="character" w:customStyle="1" w:styleId="CommentSubjectChar">
    <w:name w:val="Comment Subject Char"/>
    <w:basedOn w:val="CommentTextChar"/>
    <w:link w:val="CommentSubject"/>
    <w:uiPriority w:val="99"/>
    <w:semiHidden/>
    <w:rsid w:val="007E2BE1"/>
    <w:rPr>
      <w:b/>
      <w:bCs/>
      <w:sz w:val="20"/>
      <w:szCs w:val="20"/>
    </w:rPr>
  </w:style>
  <w:style w:type="character" w:styleId="Hyperlink">
    <w:name w:val="Hyperlink"/>
    <w:basedOn w:val="DefaultParagraphFont"/>
    <w:uiPriority w:val="99"/>
    <w:unhideWhenUsed/>
    <w:rsid w:val="00E32867"/>
    <w:rPr>
      <w:color w:val="467886" w:themeColor="hyperlink"/>
      <w:u w:val="single"/>
    </w:rPr>
  </w:style>
  <w:style w:type="paragraph" w:styleId="NormalWeb">
    <w:name w:val="Normal (Web)"/>
    <w:basedOn w:val="Normal"/>
    <w:uiPriority w:val="99"/>
    <w:unhideWhenUsed/>
    <w:rsid w:val="00E32867"/>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6C2B00"/>
    <w:pPr>
      <w:tabs>
        <w:tab w:val="center" w:pos="4680"/>
        <w:tab w:val="right" w:pos="9360"/>
      </w:tabs>
    </w:pPr>
  </w:style>
  <w:style w:type="character" w:customStyle="1" w:styleId="HeaderChar">
    <w:name w:val="Header Char"/>
    <w:basedOn w:val="DefaultParagraphFont"/>
    <w:link w:val="Header"/>
    <w:uiPriority w:val="99"/>
    <w:rsid w:val="006C2B00"/>
  </w:style>
  <w:style w:type="paragraph" w:styleId="Footer">
    <w:name w:val="footer"/>
    <w:basedOn w:val="Normal"/>
    <w:link w:val="FooterChar"/>
    <w:uiPriority w:val="99"/>
    <w:unhideWhenUsed/>
    <w:rsid w:val="006C2B00"/>
    <w:pPr>
      <w:tabs>
        <w:tab w:val="center" w:pos="4680"/>
        <w:tab w:val="right" w:pos="9360"/>
      </w:tabs>
    </w:pPr>
  </w:style>
  <w:style w:type="character" w:customStyle="1" w:styleId="FooterChar">
    <w:name w:val="Footer Char"/>
    <w:basedOn w:val="DefaultParagraphFont"/>
    <w:link w:val="Footer"/>
    <w:uiPriority w:val="99"/>
    <w:rsid w:val="006C2B00"/>
  </w:style>
  <w:style w:type="character" w:styleId="Strong">
    <w:name w:val="Strong"/>
    <w:basedOn w:val="DefaultParagraphFont"/>
    <w:uiPriority w:val="22"/>
    <w:qFormat/>
    <w:rsid w:val="000F42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182430">
      <w:bodyDiv w:val="1"/>
      <w:marLeft w:val="0"/>
      <w:marRight w:val="0"/>
      <w:marTop w:val="0"/>
      <w:marBottom w:val="0"/>
      <w:divBdr>
        <w:top w:val="none" w:sz="0" w:space="0" w:color="auto"/>
        <w:left w:val="none" w:sz="0" w:space="0" w:color="auto"/>
        <w:bottom w:val="none" w:sz="0" w:space="0" w:color="auto"/>
        <w:right w:val="none" w:sz="0" w:space="0" w:color="auto"/>
      </w:divBdr>
    </w:div>
    <w:div w:id="563033578">
      <w:bodyDiv w:val="1"/>
      <w:marLeft w:val="0"/>
      <w:marRight w:val="0"/>
      <w:marTop w:val="0"/>
      <w:marBottom w:val="0"/>
      <w:divBdr>
        <w:top w:val="none" w:sz="0" w:space="0" w:color="auto"/>
        <w:left w:val="none" w:sz="0" w:space="0" w:color="auto"/>
        <w:bottom w:val="none" w:sz="0" w:space="0" w:color="auto"/>
        <w:right w:val="none" w:sz="0" w:space="0" w:color="auto"/>
      </w:divBdr>
    </w:div>
    <w:div w:id="1969240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3" Type="http://schemas.openxmlformats.org/officeDocument/2006/relationships/hyperlink" Target="https://robinhood.com/us/en/newsroom/robinhood-24-hour-market-reaches-10b-in-total-volume-traded-overnight/?utm_source=chatgpt.com" TargetMode="External"/><Relationship Id="rId18" Type="http://schemas.openxmlformats.org/officeDocument/2006/relationships/hyperlink" Target="https://robinhood.com/us/en/newsroom/whats-new-on-robinhood/?utm_source=chatgpt.com" TargetMode="External"/><Relationship Id="rId26" Type="http://schemas.openxmlformats.org/officeDocument/2006/relationships/hyperlink" Target="https://www.mckinsey.com/capabilities/operations/our-insights/from-promising-to-productive-real-results-from-gen-ai-in-services?utm_source=chatgpt.com" TargetMode="External"/><Relationship Id="rId21" Type="http://schemas.openxmlformats.org/officeDocument/2006/relationships/hyperlink" Target="https://techcrunch.com/2023/11/29/robinhood-brings-its-stock-trading-platform-to-the-u-k-its-first-international-market/?utm_source=chatgpt.com" TargetMode="External"/><Relationship Id="rId34" Type="http://schemas.openxmlformats.org/officeDocument/2006/relationships/hyperlink" Target="https://www.ft.com/content/36bd279c-215e-4582-90ff-7efd6bfa54ea?utm_source=chatgpt.com" TargetMode="External"/><Relationship Id="rId7" Type="http://schemas.openxmlformats.org/officeDocument/2006/relationships/hyperlink" Target="https://www.eiopa.europa.eu/digital-operational-resilience-act-dora_en?utm_source=chatgpt.com" TargetMode="External"/><Relationship Id="rId12" Type="http://schemas.openxmlformats.org/officeDocument/2006/relationships/hyperlink" Target="https://docs.oracle.com/en-us/iaas/Content/sovereign-cloud/eu-sovereign-cloud.htm?utm_source=chatgpt.com" TargetMode="External"/><Relationship Id="rId17" Type="http://schemas.openxmlformats.org/officeDocument/2006/relationships/hyperlink" Target="https://www.robinhood.com/us/en/newsroom/robinhood-completes-acquisition-of-bitstamp?utm_source=chatgpt.com" TargetMode="External"/><Relationship Id="rId25" Type="http://schemas.openxmlformats.org/officeDocument/2006/relationships/hyperlink" Target="https://www.businesswire.com/news/home/20240320771318/en/BlackRock-Launches-Its-First-Tokenized-Fund-BUIDL-on-the-Ethereum-Network?utm_source=chatgpt.com" TargetMode="External"/><Relationship Id="rId33" Type="http://schemas.openxmlformats.org/officeDocument/2006/relationships/hyperlink" Target="https://www.ft.com/content/36bd279c-215e-4582-90ff-7efd6bfa54ea?utm_source=chatgpt.com" TargetMode="External"/><Relationship Id="rId2" Type="http://schemas.openxmlformats.org/officeDocument/2006/relationships/hyperlink" Target="https://www.sec.gov/newsroom/press-releases/2024-32?utm_source=chatgpt.com" TargetMode="External"/><Relationship Id="rId16" Type="http://schemas.openxmlformats.org/officeDocument/2006/relationships/hyperlink" Target="https://www.wsj.com/livecoverage/fed-meeting-fomc-interest-rate-decision-march-2024/card/blackrock-launches-first-tokenized-fund-on-ethereum-blockchain-nzDSJjH5mEijUzKO24T4?utm_source=chatgpt.com" TargetMode="External"/><Relationship Id="rId20" Type="http://schemas.openxmlformats.org/officeDocument/2006/relationships/hyperlink" Target="https://www.sifma.org/explore-issues/equity-market-structure/?utm_source=chatgpt.com" TargetMode="External"/><Relationship Id="rId29" Type="http://schemas.openxmlformats.org/officeDocument/2006/relationships/hyperlink" Target="https://www.addx.co/files/bcg_ADDX_report_Asset_tokenization_trillion_opportunity_by_2030_de2aaa41a4.pdf?utm_source=chatgpt.com" TargetMode="External"/><Relationship Id="rId1" Type="http://schemas.openxmlformats.org/officeDocument/2006/relationships/hyperlink" Target="https://docs.oracle.com/en-us/iaas/Content/sovereign-cloud/eu-sovereign-cloud.htm?utm_source=chatgpt.com" TargetMode="External"/><Relationship Id="rId6" Type="http://schemas.openxmlformats.org/officeDocument/2006/relationships/hyperlink" Target="https://www.esma.europa.eu/esmas-activities/digital-finance-and-innovation/markets-crypto-assets-regulation-mica?utm_source=chatgpt.com" TargetMode="External"/><Relationship Id="rId11" Type="http://schemas.openxmlformats.org/officeDocument/2006/relationships/hyperlink" Target="https://blog.pcisecuritystandards.org/just-published-pci-dss-v4-0-1?utm_source=chatgpt.com" TargetMode="External"/><Relationship Id="rId24" Type="http://schemas.openxmlformats.org/officeDocument/2006/relationships/hyperlink" Target="https://www.cerulli.com/press-releases/direct-indexing-assets-close-year-end-2024-at-864.3-billion?utm_source=chatgpt.com" TargetMode="External"/><Relationship Id="rId32" Type="http://schemas.openxmlformats.org/officeDocument/2006/relationships/hyperlink" Target="https://www.ft.com/content/3ca60707-fa26-4391-94c1-e065b581564b?utm_source=chatgpt.com" TargetMode="External"/><Relationship Id="rId37" Type="http://schemas.openxmlformats.org/officeDocument/2006/relationships/hyperlink" Target="https://www.wsj.com/livecoverage/fed-meeting-fomc-interest-rate-decision-march-2024/card/blackrock-launches-first-tokenized-fund-on-ethereum-blockchain-nzDSJjH5mEijUzKO24T4?utm_source=chatgpt.com" TargetMode="External"/><Relationship Id="rId5" Type="http://schemas.openxmlformats.org/officeDocument/2006/relationships/hyperlink" Target="https://www.oracle.com/security/cloud-security/cloud-guard/?utm_source=chatgpt.com" TargetMode="External"/><Relationship Id="rId15" Type="http://schemas.openxmlformats.org/officeDocument/2006/relationships/hyperlink" Target="https://www.cerulli.com/press-releases/direct-indexing-assets-close-year-end-2024-at-864.3-billion?utm_source=chatgpt.com" TargetMode="External"/><Relationship Id="rId23" Type="http://schemas.openxmlformats.org/officeDocument/2006/relationships/hyperlink" Target="https://robinhood.com/us/en/newsroom/whats-new-on-robinhood/?utm_source=chatgpt.com" TargetMode="External"/><Relationship Id="rId28" Type="http://schemas.openxmlformats.org/officeDocument/2006/relationships/hyperlink" Target="https://www.sifma.org/explore-issues/equity-market-structure/?utm_source=chatgpt.com" TargetMode="External"/><Relationship Id="rId36" Type="http://schemas.openxmlformats.org/officeDocument/2006/relationships/hyperlink" Target="https://www.wsj.com/livecoverage/fed-meeting-fomc-interest-rate-decision-march-2024/card/blackrock-launches-first-tokenized-fund-on-ethereum-blockchain-nzDSJjH5mEijUzKO24T4?utm_source=chatgpt.com" TargetMode="External"/><Relationship Id="rId10" Type="http://schemas.openxmlformats.org/officeDocument/2006/relationships/hyperlink" Target="https://www.sec.gov/newsroom/press-releases/2023-139?utm_source=chatgpt.com" TargetMode="External"/><Relationship Id="rId19" Type="http://schemas.openxmlformats.org/officeDocument/2006/relationships/hyperlink" Target="https://robinhood.com/newsroom/hood-summit-2025-news/?utm_source=chatgpt.com" TargetMode="External"/><Relationship Id="rId31" Type="http://schemas.openxmlformats.org/officeDocument/2006/relationships/hyperlink" Target="https://www.ft.com/content/3ca60707-fa26-4391-94c1-e065b581564b?utm_source=chatgpt.com" TargetMode="External"/><Relationship Id="rId4" Type="http://schemas.openxmlformats.org/officeDocument/2006/relationships/hyperlink" Target="https://www.oracle.com/financial-services/aml-financial-crime-compliance/cloud-service/?utm_source=chatgpt.com" TargetMode="External"/><Relationship Id="rId9" Type="http://schemas.openxmlformats.org/officeDocument/2006/relationships/hyperlink" Target="https://www.fca.org.uk/firms/consumer-duty?utm_source=chatgpt.com" TargetMode="External"/><Relationship Id="rId14" Type="http://schemas.openxmlformats.org/officeDocument/2006/relationships/hyperlink" Target="https://www.mckinsey.com/industries/financial-services/our-insights/us-wealth-management-amid-market-turbulence-an-industry-converges?utm_source=chatgpt.com" TargetMode="External"/><Relationship Id="rId22" Type="http://schemas.openxmlformats.org/officeDocument/2006/relationships/hyperlink" Target="https://robinhood.com/creditcard/?utm_source=chatgpt.com" TargetMode="External"/><Relationship Id="rId27" Type="http://schemas.openxmlformats.org/officeDocument/2006/relationships/hyperlink" Target="https://www.wsj.com/livecoverage/fed-meeting-fomc-interest-rate-decision-march-2024/card/blackrock-launches-first-tokenized-fund-on-ethereum-blockchain-nzDSJjH5mEijUzKO24T4?utm_source=chatgpt.com" TargetMode="External"/><Relationship Id="rId30" Type="http://schemas.openxmlformats.org/officeDocument/2006/relationships/hyperlink" Target="https://www.ft.com/content/3ca60707-fa26-4391-94c1-e065b581564b?utm_source=chatgpt.com" TargetMode="External"/><Relationship Id="rId35" Type="http://schemas.openxmlformats.org/officeDocument/2006/relationships/hyperlink" Target="https://www.ft.com/content/36bd279c-215e-4582-90ff-7efd6bfa54ea?utm_source=chatgpt.com" TargetMode="External"/><Relationship Id="rId8" Type="http://schemas.openxmlformats.org/officeDocument/2006/relationships/hyperlink" Target="https://www.sec.gov/exams/educationhelpguidesfaqs/t1-faq?utm_source=chatgpt.com" TargetMode="External"/><Relationship Id="rId3" Type="http://schemas.openxmlformats.org/officeDocument/2006/relationships/hyperlink" Target="https://www.oracle.com/cloud/networking/fastconnect/pricing/?utm_source=chatgpt.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microsoft.com/office/2019/05/relationships/documenttasks" Target="documenttasks/documenttasks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documenttasks/documenttasks1.xml><?xml version="1.0" encoding="utf-8"?>
<t:Tasks xmlns:t="http://schemas.microsoft.com/office/tasks/2019/documenttasks" xmlns:oel="http://schemas.microsoft.com/office/2019/extlst">
  <t:Task id="{35594468-C70C-4C45-B3F4-A536C238A686}">
    <t:Anchor>
      <t:Comment id="1246842612"/>
    </t:Anchor>
    <t:History>
      <t:Event id="{3DCD2DA9-B83C-497C-A3A8-0B3F1F3DC6BF}" time="2025-10-08T17:39:17.706Z">
        <t:Attribution userId="S::joseph.sheehan@oracle.com::aa90fb77-5dc6-4464-82cb-657c576b1a14" userProvider="AD" userName="Joe Sheehan"/>
        <t:Anchor>
          <t:Comment id="1246842612"/>
        </t:Anchor>
        <t:Create/>
      </t:Event>
      <t:Event id="{9402751F-EA17-421B-AA30-3055F558E6A1}" time="2025-10-08T17:39:17.706Z">
        <t:Attribution userId="S::joseph.sheehan@oracle.com::aa90fb77-5dc6-4464-82cb-657c576b1a14" userProvider="AD" userName="Joe Sheehan"/>
        <t:Anchor>
          <t:Comment id="1246842612"/>
        </t:Anchor>
        <t:Assign userId="S::rohit.nabh@oracle.com::7c7c4cf4-8a1e-4be7-941b-1b473562acbb" userProvider="AD" userName="Rohit Nabh"/>
      </t:Event>
      <t:Event id="{66B5F254-EB36-4810-AD75-1EDAC4522C06}" time="2025-10-08T17:39:17.706Z">
        <t:Attribution userId="S::joseph.sheehan@oracle.com::aa90fb77-5dc6-4464-82cb-657c576b1a14" userProvider="AD" userName="Joe Sheehan"/>
        <t:Anchor>
          <t:Comment id="1246842612"/>
        </t:Anchor>
        <t:SetTitle title="@Rohit Nabh Thoughts on this? Financial services firms are under unprecedented pressure from regulatory and legal challenges, with constantly changing rules governing payment for order flow, best execution, cryptocurrency oversight, and capital adequac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6665055-977f-4acd-9884-1bec8e5ad200}"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1072</Words>
  <Characters>6113</Characters>
  <Application>Microsoft Office Word</Application>
  <DocSecurity>0</DocSecurity>
  <Lines>50</Lines>
  <Paragraphs>14</Paragraphs>
  <ScaleCrop>false</ScaleCrop>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Jason Murphy</cp:lastModifiedBy>
  <cp:revision>3</cp:revision>
  <dcterms:created xsi:type="dcterms:W3CDTF">2026-07-02T18:33:00Z</dcterms:created>
  <dcterms:modified xsi:type="dcterms:W3CDTF">2026-07-02T18:34:00Z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7ea6a991,7c14a98d,5e4db430</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76a183dd,50f8b5c4,7cb20ee0</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2025-03-20T17:05:25Z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c3d27956-7f1b-4e28-b29a-ddb61bb530e1</vt:lpwstr>
  </property>
  <property fmtid="{D5CDD505-2E9C-101B-9397-08002B2CF9AE}" pid="14" name="MSIP_Label_56665055-977f-4acd-9884-1bec8e5ad200_ContentBits">
    <vt:lpwstr>3</vt:lpwstr>
  </property>
  <property fmtid="{D5CDD505-2E9C-101B-9397-08002B2CF9AE}" pid="15" name="MSIP_Label_56665055-977f-4acd-9884-1bec8e5ad200_Tag">
    <vt:lpwstr>10, 3, 0, 2</vt:lpwstr>
  </property>
</Properties>
</file>