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511" w14:textId="0A0889BB" w:rsidR="00CC5A6D" w:rsidRPr="00DF0833" w:rsidRDefault="00CC5A6D" w:rsidP="00DF0833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  <w:u w:val="single"/>
        </w:rPr>
        <w:t>FINTECH PROJECT 2</w:t>
      </w:r>
    </w:p>
    <w:p w14:paraId="002313A6" w14:textId="77777777" w:rsidR="00CC5A6D" w:rsidRPr="00DF0833" w:rsidRDefault="00CC5A6D" w:rsidP="00CC5A6D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14:paraId="4BB55E12" w14:textId="6B9601C5" w:rsidR="00CC5A6D" w:rsidRPr="00DF0833" w:rsidRDefault="00CC5A6D" w:rsidP="00CC5A6D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  <w:u w:val="single"/>
        </w:rPr>
        <w:t xml:space="preserve">Inflation News Market Influence &amp; Stock Prediction </w:t>
      </w:r>
    </w:p>
    <w:p w14:paraId="74CEC159" w14:textId="3ADC6AFE" w:rsidR="00664694" w:rsidRPr="00DF0833" w:rsidRDefault="00664694" w:rsidP="00CC5A6D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14:paraId="6B0AEDDF" w14:textId="77777777" w:rsidR="00DF0833" w:rsidRPr="00DF0833" w:rsidRDefault="00DF0833" w:rsidP="00DF0833">
      <w:pPr>
        <w:rPr>
          <w:rFonts w:ascii="Verdana" w:hAnsi="Verdana"/>
          <w:b/>
          <w:bCs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  <w:u w:val="single"/>
        </w:rPr>
        <w:t>First Notebook</w:t>
      </w:r>
    </w:p>
    <w:p w14:paraId="1B320067" w14:textId="19FE4852" w:rsidR="00BD449B" w:rsidRPr="00DF0833" w:rsidRDefault="00BD449B" w:rsidP="00CC5A6D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14:paraId="4B292C02" w14:textId="2A175D6F" w:rsidR="00BD449B" w:rsidRPr="00DF0833" w:rsidRDefault="00BD449B" w:rsidP="00BD449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Analyzing what effect (if any) inflation news has had on the stock market and if this news has influenced investor’s trading decisions.</w:t>
      </w:r>
    </w:p>
    <w:p w14:paraId="429306AB" w14:textId="4128F3A1" w:rsidR="00BD449B" w:rsidRPr="00DF0833" w:rsidRDefault="00BD449B" w:rsidP="00BD449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Wh</w:t>
      </w:r>
      <w:r w:rsidR="002459A9" w:rsidRPr="00DF0833">
        <w:rPr>
          <w:rFonts w:ascii="Verdana" w:hAnsi="Verdana"/>
          <w:sz w:val="20"/>
          <w:szCs w:val="20"/>
        </w:rPr>
        <w:t>at</w:t>
      </w:r>
      <w:r w:rsidRPr="00DF0833">
        <w:rPr>
          <w:rFonts w:ascii="Verdana" w:hAnsi="Verdana"/>
          <w:sz w:val="20"/>
          <w:szCs w:val="20"/>
        </w:rPr>
        <w:t xml:space="preserve"> is inflation</w:t>
      </w:r>
      <w:r w:rsidR="002459A9" w:rsidRPr="00DF0833">
        <w:rPr>
          <w:rFonts w:ascii="Verdana" w:hAnsi="Verdana"/>
          <w:sz w:val="20"/>
          <w:szCs w:val="20"/>
        </w:rPr>
        <w:t xml:space="preserve"> and why is it</w:t>
      </w:r>
      <w:r w:rsidRPr="00DF0833">
        <w:rPr>
          <w:rFonts w:ascii="Verdana" w:hAnsi="Verdana"/>
          <w:sz w:val="20"/>
          <w:szCs w:val="20"/>
        </w:rPr>
        <w:t xml:space="preserve"> such a relevant market indicator?</w:t>
      </w:r>
    </w:p>
    <w:p w14:paraId="145E3D26" w14:textId="4EBBAC17" w:rsidR="00354558" w:rsidRPr="00DF0833" w:rsidRDefault="009C4828" w:rsidP="00354558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Inflation is the rise in the price of goods and services which results in the decline of purchasing power of a given currency over time. Inflation is a relevant market indicator because as a currency loses value, prices rise</w:t>
      </w:r>
      <w:r w:rsidR="006735EE" w:rsidRPr="00DF0833">
        <w:rPr>
          <w:rFonts w:ascii="Verdana" w:hAnsi="Verdana"/>
          <w:sz w:val="20"/>
          <w:szCs w:val="20"/>
        </w:rPr>
        <w:t>,</w:t>
      </w:r>
      <w:r w:rsidRPr="00DF0833">
        <w:rPr>
          <w:rFonts w:ascii="Verdana" w:hAnsi="Verdana"/>
          <w:sz w:val="20"/>
          <w:szCs w:val="20"/>
        </w:rPr>
        <w:t xml:space="preserve"> and it buys fewer goods and services. This loss of purchasing power impacts the general cost of living for the common public which ultimately leads to a deceleration in economic growth.</w:t>
      </w:r>
    </w:p>
    <w:p w14:paraId="20DCF143" w14:textId="526B5D9D" w:rsidR="006B7FAC" w:rsidRPr="00DF0833" w:rsidRDefault="006B7FAC" w:rsidP="009C4828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What are the main factors that contribute to a rise in inflation?</w:t>
      </w:r>
    </w:p>
    <w:p w14:paraId="41903C7A" w14:textId="554F442C" w:rsidR="006B7FAC" w:rsidRPr="00DF0833" w:rsidRDefault="009F5B55" w:rsidP="006B7FAC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Reduction in</w:t>
      </w:r>
      <w:r w:rsidR="006B7FAC" w:rsidRPr="00DF0833">
        <w:rPr>
          <w:rFonts w:ascii="Verdana" w:hAnsi="Verdana"/>
          <w:sz w:val="20"/>
          <w:szCs w:val="20"/>
        </w:rPr>
        <w:t xml:space="preserve"> interest rates</w:t>
      </w:r>
      <w:r w:rsidR="00F165F4" w:rsidRPr="00DF0833">
        <w:rPr>
          <w:rFonts w:ascii="Verdana" w:hAnsi="Verdana"/>
          <w:sz w:val="20"/>
          <w:szCs w:val="20"/>
        </w:rPr>
        <w:t xml:space="preserve"> which incentivizes low-cost borrowing</w:t>
      </w:r>
    </w:p>
    <w:p w14:paraId="7BF328E6" w14:textId="1652E677" w:rsidR="006B7FAC" w:rsidRPr="00DF0833" w:rsidRDefault="009F5B55" w:rsidP="006B7FAC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Increase in money supply</w:t>
      </w:r>
    </w:p>
    <w:p w14:paraId="0560307C" w14:textId="4EDDA327" w:rsidR="009F5B55" w:rsidRPr="00DF0833" w:rsidRDefault="009F5B55" w:rsidP="006B7FAC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Increase in oil prices</w:t>
      </w:r>
      <w:r w:rsidR="00C76218" w:rsidRPr="00DF0833">
        <w:rPr>
          <w:rFonts w:ascii="Verdana" w:hAnsi="Verdana"/>
          <w:sz w:val="20"/>
          <w:szCs w:val="20"/>
        </w:rPr>
        <w:t xml:space="preserve"> which is closely linked to economic activity because oil is vital for producing and transporting goods</w:t>
      </w:r>
    </w:p>
    <w:p w14:paraId="7EF9DC76" w14:textId="4437D7E3" w:rsidR="009F5B55" w:rsidRPr="00DF0833" w:rsidRDefault="009F5B55" w:rsidP="009F5B55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Increas</w:t>
      </w:r>
      <w:r w:rsidR="00C76218" w:rsidRPr="00DF0833">
        <w:rPr>
          <w:rFonts w:ascii="Verdana" w:hAnsi="Verdana"/>
          <w:sz w:val="20"/>
          <w:szCs w:val="20"/>
        </w:rPr>
        <w:t>e in</w:t>
      </w:r>
      <w:r w:rsidRPr="00DF0833">
        <w:rPr>
          <w:rFonts w:ascii="Verdana" w:hAnsi="Verdana"/>
          <w:sz w:val="20"/>
          <w:szCs w:val="20"/>
        </w:rPr>
        <w:t xml:space="preserve"> cost of imported goods</w:t>
      </w:r>
      <w:r w:rsidR="00C76218" w:rsidRPr="00DF0833">
        <w:rPr>
          <w:rFonts w:ascii="Verdana" w:hAnsi="Verdana"/>
          <w:sz w:val="20"/>
          <w:szCs w:val="20"/>
        </w:rPr>
        <w:t xml:space="preserve"> which leads to an increase in domestic demand</w:t>
      </w:r>
    </w:p>
    <w:p w14:paraId="2A824CF1" w14:textId="348A75AC" w:rsidR="009F5B55" w:rsidRPr="00DF0833" w:rsidRDefault="00C76218" w:rsidP="006B7FAC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Increase in wages which results in an increase of disposable income</w:t>
      </w:r>
    </w:p>
    <w:p w14:paraId="19F83673" w14:textId="208DAA4D" w:rsidR="009C4828" w:rsidRPr="00DF0833" w:rsidRDefault="009C4828" w:rsidP="009C4828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What </w:t>
      </w:r>
      <w:r w:rsidR="00E93309" w:rsidRPr="00DF0833">
        <w:rPr>
          <w:rFonts w:ascii="Verdana" w:hAnsi="Verdana"/>
          <w:sz w:val="20"/>
          <w:szCs w:val="20"/>
        </w:rPr>
        <w:t xml:space="preserve">are investor market sentiments </w:t>
      </w:r>
      <w:r w:rsidRPr="00DF0833">
        <w:rPr>
          <w:rFonts w:ascii="Verdana" w:hAnsi="Verdana"/>
          <w:sz w:val="20"/>
          <w:szCs w:val="20"/>
        </w:rPr>
        <w:t>when inflation rises?</w:t>
      </w:r>
    </w:p>
    <w:p w14:paraId="0288D3A7" w14:textId="50B674C8" w:rsidR="00B46C8A" w:rsidRPr="00DF0833" w:rsidRDefault="00B46C8A" w:rsidP="00B46C8A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Investors often turn to perceived “safe” investments like gold and gold stocks when inflation is on the rise because gold is considered to be a safe haven during periods of economic instability.</w:t>
      </w:r>
    </w:p>
    <w:p w14:paraId="14CA88C9" w14:textId="2BFAE449" w:rsidR="00B46C8A" w:rsidRPr="00DF0833" w:rsidRDefault="00B46C8A" w:rsidP="00033A50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Investors turn to the utilities sector because we all still need electricity, heat, gas, etc. regardless of the inflationary environment. </w:t>
      </w:r>
    </w:p>
    <w:p w14:paraId="3ABCD080" w14:textId="277A48C5" w:rsidR="009C4828" w:rsidRPr="00DF0833" w:rsidRDefault="00B46C8A" w:rsidP="00B46C8A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Investors turn to the real estate sector because Real Estate Investment Trusts (REITs) are often a hedge against inflation. Property prices and rental incomes tend to rise when inflation rises, and REITs are required by law to pay out at least 90% of their net earnings to shareholders annually.</w:t>
      </w:r>
    </w:p>
    <w:p w14:paraId="0AA0E400" w14:textId="727FDA99" w:rsidR="00BD449B" w:rsidRPr="00DF0833" w:rsidRDefault="00BD449B" w:rsidP="00BD449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ETF </w:t>
      </w:r>
      <w:r w:rsidR="00F165F4" w:rsidRPr="00DF0833">
        <w:rPr>
          <w:rFonts w:ascii="Verdana" w:hAnsi="Verdana"/>
          <w:sz w:val="20"/>
          <w:szCs w:val="20"/>
        </w:rPr>
        <w:t xml:space="preserve">performance analysis to see if rising inflation news affects the stock market </w:t>
      </w:r>
    </w:p>
    <w:p w14:paraId="00E568BA" w14:textId="4D0772BD" w:rsidR="00BD449B" w:rsidRPr="00DF0833" w:rsidRDefault="00BD449B" w:rsidP="00594F1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SPY (</w:t>
      </w:r>
      <w:r w:rsidR="005C5CD0" w:rsidRPr="00DF0833">
        <w:rPr>
          <w:rFonts w:ascii="Verdana" w:hAnsi="Verdana"/>
          <w:b/>
          <w:bCs/>
          <w:sz w:val="20"/>
          <w:szCs w:val="20"/>
        </w:rPr>
        <w:t>O</w:t>
      </w:r>
      <w:r w:rsidRPr="00DF0833">
        <w:rPr>
          <w:rFonts w:ascii="Verdana" w:hAnsi="Verdana"/>
          <w:b/>
          <w:bCs/>
          <w:sz w:val="20"/>
          <w:szCs w:val="20"/>
        </w:rPr>
        <w:t>verall)</w:t>
      </w:r>
      <w:r w:rsidR="00F165F4" w:rsidRPr="00DF0833">
        <w:rPr>
          <w:rFonts w:ascii="Verdana" w:hAnsi="Verdana"/>
          <w:sz w:val="20"/>
          <w:szCs w:val="20"/>
        </w:rPr>
        <w:t>- Chose SPY as a benchmark to see how the overall market performed</w:t>
      </w:r>
    </w:p>
    <w:p w14:paraId="31D1402B" w14:textId="65D5629A" w:rsidR="007D28D7" w:rsidRPr="00DF0833" w:rsidRDefault="00F92E95" w:rsidP="00594F1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 xml:space="preserve">GLD </w:t>
      </w:r>
      <w:r w:rsidR="005C5CD0" w:rsidRPr="00DF0833">
        <w:rPr>
          <w:rFonts w:ascii="Verdana" w:hAnsi="Verdana"/>
          <w:b/>
          <w:bCs/>
          <w:sz w:val="20"/>
          <w:szCs w:val="20"/>
        </w:rPr>
        <w:t>(</w:t>
      </w:r>
      <w:r w:rsidR="00E11716" w:rsidRPr="00DF0833">
        <w:rPr>
          <w:rFonts w:ascii="Verdana" w:hAnsi="Verdana"/>
          <w:b/>
          <w:bCs/>
          <w:sz w:val="20"/>
          <w:szCs w:val="20"/>
        </w:rPr>
        <w:t>Commodity</w:t>
      </w:r>
      <w:r w:rsidR="005C5CD0" w:rsidRPr="00DF0833">
        <w:rPr>
          <w:rFonts w:ascii="Verdana" w:hAnsi="Verdana"/>
          <w:b/>
          <w:bCs/>
          <w:sz w:val="20"/>
          <w:szCs w:val="20"/>
        </w:rPr>
        <w:t>)</w:t>
      </w:r>
      <w:r w:rsidR="00F165F4" w:rsidRPr="00DF0833">
        <w:rPr>
          <w:rFonts w:ascii="Verdana" w:hAnsi="Verdana"/>
          <w:sz w:val="20"/>
          <w:szCs w:val="20"/>
        </w:rPr>
        <w:t>- Chose GLD because in times of rising inflation</w:t>
      </w:r>
      <w:r w:rsidR="00E11716" w:rsidRPr="00DF0833">
        <w:rPr>
          <w:rFonts w:ascii="Verdana" w:hAnsi="Verdana"/>
          <w:sz w:val="20"/>
          <w:szCs w:val="20"/>
        </w:rPr>
        <w:t>, the demand and price for goods and services increases, as does the price of the commodities used to produce those goods and services</w:t>
      </w:r>
    </w:p>
    <w:p w14:paraId="2AF470F8" w14:textId="7DA00A48" w:rsidR="00BD449B" w:rsidRPr="00DF0833" w:rsidRDefault="007D28D7" w:rsidP="00594F1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XLRE (Real Estate)</w:t>
      </w:r>
      <w:r w:rsidRPr="00DF0833">
        <w:rPr>
          <w:rFonts w:ascii="Verdana" w:hAnsi="Verdana"/>
          <w:sz w:val="20"/>
          <w:szCs w:val="20"/>
        </w:rPr>
        <w:t>-</w:t>
      </w:r>
      <w:r w:rsidR="00E11716" w:rsidRPr="00DF0833">
        <w:rPr>
          <w:rFonts w:ascii="Verdana" w:hAnsi="Verdana"/>
          <w:sz w:val="20"/>
          <w:szCs w:val="20"/>
        </w:rPr>
        <w:t xml:space="preserve"> Chose XLRE because assets with adjustable cash flows (property rental income) tend to perform better with rising inflation</w:t>
      </w:r>
    </w:p>
    <w:p w14:paraId="405A694D" w14:textId="4808CBC6" w:rsidR="007D28D7" w:rsidRPr="00DF0833" w:rsidRDefault="007D28D7" w:rsidP="00594F14">
      <w:pPr>
        <w:pStyle w:val="ListParagraph"/>
        <w:numPr>
          <w:ilvl w:val="0"/>
          <w:numId w:val="15"/>
        </w:numPr>
        <w:ind w:left="1080"/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USO (Oil)</w:t>
      </w:r>
      <w:r w:rsidRPr="00DF0833">
        <w:rPr>
          <w:rFonts w:ascii="Verdana" w:hAnsi="Verdana"/>
          <w:sz w:val="20"/>
          <w:szCs w:val="20"/>
        </w:rPr>
        <w:t>-</w:t>
      </w:r>
      <w:r w:rsidR="00E11716" w:rsidRPr="00DF0833">
        <w:rPr>
          <w:rFonts w:ascii="Verdana" w:hAnsi="Verdana"/>
          <w:sz w:val="20"/>
          <w:szCs w:val="20"/>
        </w:rPr>
        <w:t xml:space="preserve"> Chose USO because energy-related commodities like oil have a strong relationship with inflation</w:t>
      </w:r>
    </w:p>
    <w:p w14:paraId="532342AD" w14:textId="043B3FA3" w:rsidR="00594F14" w:rsidRPr="00DF0833" w:rsidRDefault="00352264" w:rsidP="00594F14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Inflation analysis- Time period: 10/3</w:t>
      </w:r>
      <w:r w:rsidR="00DE0AA1" w:rsidRPr="00DF0833">
        <w:rPr>
          <w:rFonts w:ascii="Verdana" w:hAnsi="Verdana"/>
          <w:sz w:val="20"/>
          <w:szCs w:val="20"/>
        </w:rPr>
        <w:t>1</w:t>
      </w:r>
      <w:r w:rsidRPr="00DF0833">
        <w:rPr>
          <w:rFonts w:ascii="Verdana" w:hAnsi="Verdana"/>
          <w:sz w:val="20"/>
          <w:szCs w:val="20"/>
        </w:rPr>
        <w:t>/20-10/3</w:t>
      </w:r>
      <w:r w:rsidR="00DE0AA1" w:rsidRPr="00DF0833">
        <w:rPr>
          <w:rFonts w:ascii="Verdana" w:hAnsi="Verdana"/>
          <w:sz w:val="20"/>
          <w:szCs w:val="20"/>
        </w:rPr>
        <w:t>1</w:t>
      </w:r>
      <w:r w:rsidRPr="00DF0833">
        <w:rPr>
          <w:rFonts w:ascii="Verdana" w:hAnsi="Verdana"/>
          <w:sz w:val="20"/>
          <w:szCs w:val="20"/>
        </w:rPr>
        <w:t>/21</w:t>
      </w:r>
    </w:p>
    <w:p w14:paraId="1DE2323C" w14:textId="1B93F7D5" w:rsidR="00594F14" w:rsidRPr="00DF0833" w:rsidRDefault="00594F14" w:rsidP="00594F14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October 2020- February 2021</w:t>
      </w:r>
      <w:r w:rsidRPr="00DF0833">
        <w:rPr>
          <w:rFonts w:ascii="Verdana" w:hAnsi="Verdana"/>
          <w:sz w:val="20"/>
          <w:szCs w:val="20"/>
        </w:rPr>
        <w:t>: 1.2%- 1.7% (0.5% increase)</w:t>
      </w:r>
    </w:p>
    <w:p w14:paraId="23522BC9" w14:textId="0FE9F82B" w:rsidR="00352264" w:rsidRPr="00DF0833" w:rsidRDefault="00352264" w:rsidP="00594F14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March 2021- April 2021</w:t>
      </w:r>
      <w:r w:rsidRPr="00DF0833">
        <w:rPr>
          <w:rFonts w:ascii="Verdana" w:hAnsi="Verdana"/>
          <w:sz w:val="20"/>
          <w:szCs w:val="20"/>
        </w:rPr>
        <w:t>: 2.6%- 4.2% (1.6% increase)</w:t>
      </w:r>
    </w:p>
    <w:p w14:paraId="22667E03" w14:textId="77777777" w:rsidR="00352264" w:rsidRPr="00DF0833" w:rsidRDefault="00352264" w:rsidP="00352264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May 2021- July 2021</w:t>
      </w:r>
      <w:r w:rsidRPr="00DF0833">
        <w:rPr>
          <w:rFonts w:ascii="Verdana" w:hAnsi="Verdana"/>
          <w:sz w:val="20"/>
          <w:szCs w:val="20"/>
        </w:rPr>
        <w:t>: 5%- 5.4% (0.4% increase)</w:t>
      </w:r>
    </w:p>
    <w:p w14:paraId="335D26CA" w14:textId="6B49E90D" w:rsidR="00352264" w:rsidRPr="00DF0833" w:rsidRDefault="00352264" w:rsidP="00352264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August 2021- October 2021</w:t>
      </w:r>
      <w:r w:rsidRPr="00DF0833">
        <w:rPr>
          <w:rFonts w:ascii="Verdana" w:hAnsi="Verdana"/>
          <w:sz w:val="20"/>
          <w:szCs w:val="20"/>
        </w:rPr>
        <w:t>: 5.3%- 6.2% (0.9% increase)</w:t>
      </w:r>
    </w:p>
    <w:p w14:paraId="328F7869" w14:textId="77777777" w:rsidR="00664694" w:rsidRPr="00DF0833" w:rsidRDefault="00664694" w:rsidP="0066469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Quantitative analysis</w:t>
      </w:r>
    </w:p>
    <w:p w14:paraId="1E72BB7D" w14:textId="53729DC8" w:rsidR="00664694" w:rsidRPr="00DF0833" w:rsidRDefault="00664694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Calculate returns and combine them in a data frame then plot the performance analysis charts </w:t>
      </w:r>
    </w:p>
    <w:p w14:paraId="70F0527C" w14:textId="0B15AEAE" w:rsidR="007B34D7" w:rsidRPr="00DF0833" w:rsidRDefault="007B34D7" w:rsidP="007B34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How did the market respond to changes in inflation?</w:t>
      </w:r>
    </w:p>
    <w:p w14:paraId="66FC9415" w14:textId="17F34B69" w:rsidR="00232005" w:rsidRPr="00DF0833" w:rsidRDefault="00364D2A" w:rsidP="00232005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Oil (USO) outperformed the overall market (SPY), gold </w:t>
      </w:r>
      <w:r w:rsidR="00BD4143" w:rsidRPr="00DF0833">
        <w:rPr>
          <w:rFonts w:ascii="Verdana" w:hAnsi="Verdana"/>
          <w:sz w:val="20"/>
          <w:szCs w:val="20"/>
        </w:rPr>
        <w:t xml:space="preserve">(GLD) </w:t>
      </w:r>
      <w:r w:rsidRPr="00DF0833">
        <w:rPr>
          <w:rFonts w:ascii="Verdana" w:hAnsi="Verdana"/>
          <w:sz w:val="20"/>
          <w:szCs w:val="20"/>
        </w:rPr>
        <w:t>and real estate</w:t>
      </w:r>
      <w:r w:rsidR="00BD4143" w:rsidRPr="00DF0833">
        <w:rPr>
          <w:rFonts w:ascii="Verdana" w:hAnsi="Verdana"/>
          <w:sz w:val="20"/>
          <w:szCs w:val="20"/>
        </w:rPr>
        <w:t xml:space="preserve"> (XLRE) stocks which proves that, as stated above, oil does have a strong</w:t>
      </w:r>
      <w:r w:rsidR="00232005" w:rsidRPr="00DF0833">
        <w:rPr>
          <w:rFonts w:ascii="Verdana" w:hAnsi="Verdana"/>
          <w:sz w:val="20"/>
          <w:szCs w:val="20"/>
        </w:rPr>
        <w:t xml:space="preserve"> </w:t>
      </w:r>
      <w:r w:rsidR="00BD4143" w:rsidRPr="00DF0833">
        <w:rPr>
          <w:rFonts w:ascii="Verdana" w:hAnsi="Verdana"/>
          <w:sz w:val="20"/>
          <w:szCs w:val="20"/>
        </w:rPr>
        <w:lastRenderedPageBreak/>
        <w:t xml:space="preserve">relationship with inflation. </w:t>
      </w:r>
      <w:r w:rsidR="00232005" w:rsidRPr="00DF0833">
        <w:rPr>
          <w:rFonts w:ascii="Verdana" w:hAnsi="Verdana"/>
          <w:sz w:val="20"/>
          <w:szCs w:val="20"/>
        </w:rPr>
        <w:t xml:space="preserve">This is not surprising because oil is vital for producing and transporting goods and when inflation rises, so does the demand and price for goods and services. </w:t>
      </w:r>
    </w:p>
    <w:p w14:paraId="60EB3775" w14:textId="1BA615BB" w:rsidR="00DE0AA1" w:rsidRPr="00DF0833" w:rsidRDefault="00DE0AA1" w:rsidP="00DE0AA1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USO analysis- Time period: 10/31/20-10/31/21</w:t>
      </w:r>
    </w:p>
    <w:p w14:paraId="3ABB5BFF" w14:textId="48011339" w:rsidR="00DE0AA1" w:rsidRPr="00DF0833" w:rsidRDefault="00DE0AA1" w:rsidP="00DE0AA1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October 2020- February 2021</w:t>
      </w:r>
      <w:r w:rsidRPr="00DF0833">
        <w:rPr>
          <w:rFonts w:ascii="Verdana" w:hAnsi="Verdana"/>
          <w:sz w:val="20"/>
          <w:szCs w:val="20"/>
        </w:rPr>
        <w:t>: $26.26- $41.31 (0.57</w:t>
      </w:r>
      <w:r w:rsidR="000F4CA3" w:rsidRPr="00DF0833">
        <w:rPr>
          <w:rFonts w:ascii="Verdana" w:hAnsi="Verdana"/>
          <w:sz w:val="20"/>
          <w:szCs w:val="20"/>
        </w:rPr>
        <w:t>3</w:t>
      </w:r>
      <w:r w:rsidRPr="00DF0833">
        <w:rPr>
          <w:rFonts w:ascii="Verdana" w:hAnsi="Verdana"/>
          <w:sz w:val="20"/>
          <w:szCs w:val="20"/>
        </w:rPr>
        <w:t>% increase in USO returns)</w:t>
      </w:r>
    </w:p>
    <w:p w14:paraId="40C50CF8" w14:textId="1CC45F18" w:rsidR="00DE0AA1" w:rsidRPr="00DF0833" w:rsidRDefault="00DE0AA1" w:rsidP="00DE0AA1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March 2021- April 2021</w:t>
      </w:r>
      <w:r w:rsidRPr="00DF0833">
        <w:rPr>
          <w:rFonts w:ascii="Verdana" w:hAnsi="Verdana"/>
          <w:sz w:val="20"/>
          <w:szCs w:val="20"/>
        </w:rPr>
        <w:t>: $40.53- $43.27 (</w:t>
      </w:r>
      <w:r w:rsidR="000F4CA3" w:rsidRPr="00DF0833">
        <w:rPr>
          <w:rFonts w:ascii="Verdana" w:hAnsi="Verdana"/>
          <w:sz w:val="20"/>
          <w:szCs w:val="20"/>
        </w:rPr>
        <w:t>0.068% increase in USO returns)</w:t>
      </w:r>
    </w:p>
    <w:p w14:paraId="628F5CEF" w14:textId="378A1980" w:rsidR="00DE0AA1" w:rsidRPr="00DF0833" w:rsidRDefault="00DE0AA1" w:rsidP="00DE0AA1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May 2021- July 2021</w:t>
      </w:r>
      <w:r w:rsidRPr="00DF0833">
        <w:rPr>
          <w:rFonts w:ascii="Verdana" w:hAnsi="Verdana"/>
          <w:sz w:val="20"/>
          <w:szCs w:val="20"/>
        </w:rPr>
        <w:t>: $45.42- $50.66 (</w:t>
      </w:r>
      <w:r w:rsidR="000F4CA3" w:rsidRPr="00DF0833">
        <w:rPr>
          <w:rFonts w:ascii="Verdana" w:hAnsi="Verdana"/>
          <w:sz w:val="20"/>
          <w:szCs w:val="20"/>
        </w:rPr>
        <w:t xml:space="preserve">0.115% increase in USO returns) </w:t>
      </w:r>
    </w:p>
    <w:p w14:paraId="6BA0CB77" w14:textId="41D9A0B4" w:rsidR="00DE0AA1" w:rsidRPr="00DF0833" w:rsidRDefault="00DE0AA1" w:rsidP="00DE0AA1">
      <w:pPr>
        <w:pStyle w:val="ListParagraph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b/>
          <w:bCs/>
          <w:sz w:val="20"/>
          <w:szCs w:val="20"/>
        </w:rPr>
        <w:t>August 2021- October 2021</w:t>
      </w:r>
      <w:r w:rsidRPr="00DF0833">
        <w:rPr>
          <w:rFonts w:ascii="Verdana" w:hAnsi="Verdana"/>
          <w:sz w:val="20"/>
          <w:szCs w:val="20"/>
        </w:rPr>
        <w:t>: $48.04- $57.15 (</w:t>
      </w:r>
      <w:r w:rsidR="000F4CA3" w:rsidRPr="00DF0833">
        <w:rPr>
          <w:rFonts w:ascii="Verdana" w:hAnsi="Verdana"/>
          <w:sz w:val="20"/>
          <w:szCs w:val="20"/>
        </w:rPr>
        <w:t>0.19% increase in USO returns)</w:t>
      </w:r>
    </w:p>
    <w:p w14:paraId="21323521" w14:textId="2ACF435C" w:rsidR="0070134B" w:rsidRPr="00DF0833" w:rsidRDefault="0070134B" w:rsidP="002034B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Create a portfolio simulation based on performance analysis</w:t>
      </w:r>
    </w:p>
    <w:p w14:paraId="6A6D6E84" w14:textId="77777777" w:rsidR="0070134B" w:rsidRPr="00DF0833" w:rsidRDefault="0070134B" w:rsidP="0070134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Investor profile</w:t>
      </w:r>
    </w:p>
    <w:p w14:paraId="03359CF7" w14:textId="77777777" w:rsidR="0070134B" w:rsidRPr="00DF0833" w:rsidRDefault="0070134B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Risk tolerance- high</w:t>
      </w:r>
    </w:p>
    <w:p w14:paraId="3AD36F7F" w14:textId="77777777" w:rsidR="0070134B" w:rsidRPr="00DF0833" w:rsidRDefault="0070134B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Age- 30</w:t>
      </w:r>
    </w:p>
    <w:p w14:paraId="5C6924B8" w14:textId="77777777" w:rsidR="0070134B" w:rsidRPr="00DF0833" w:rsidRDefault="0070134B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Time horizon- 30 years</w:t>
      </w:r>
    </w:p>
    <w:p w14:paraId="48B27F8F" w14:textId="77777777" w:rsidR="0070134B" w:rsidRPr="00DF0833" w:rsidRDefault="0070134B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Asset type- various</w:t>
      </w:r>
    </w:p>
    <w:p w14:paraId="3CD2C8B2" w14:textId="77777777" w:rsidR="0070134B" w:rsidRPr="00DF0833" w:rsidRDefault="0070134B" w:rsidP="00594F14">
      <w:pPr>
        <w:pStyle w:val="ListParagraph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Investment amount- $100,000</w:t>
      </w:r>
    </w:p>
    <w:p w14:paraId="7BDD92EA" w14:textId="3E1A46AE" w:rsidR="0070134B" w:rsidRPr="00DF0833" w:rsidRDefault="0070134B" w:rsidP="006D32E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 xml:space="preserve">Because the investor is </w:t>
      </w:r>
      <w:r w:rsidR="002E0656" w:rsidRPr="00DF0833">
        <w:rPr>
          <w:rFonts w:ascii="Verdana" w:hAnsi="Verdana"/>
          <w:sz w:val="20"/>
          <w:szCs w:val="20"/>
        </w:rPr>
        <w:t>optimistic about the market</w:t>
      </w:r>
      <w:r w:rsidRPr="00DF0833">
        <w:rPr>
          <w:rFonts w:ascii="Verdana" w:hAnsi="Verdana"/>
          <w:sz w:val="20"/>
          <w:szCs w:val="20"/>
        </w:rPr>
        <w:t xml:space="preserve">, create a </w:t>
      </w:r>
      <w:r w:rsidR="002F75EB" w:rsidRPr="00DF0833">
        <w:rPr>
          <w:rFonts w:ascii="Verdana" w:hAnsi="Verdana"/>
          <w:sz w:val="20"/>
          <w:szCs w:val="20"/>
        </w:rPr>
        <w:t>long</w:t>
      </w:r>
      <w:r w:rsidRPr="00DF0833">
        <w:rPr>
          <w:rFonts w:ascii="Verdana" w:hAnsi="Verdana"/>
          <w:sz w:val="20"/>
          <w:szCs w:val="20"/>
        </w:rPr>
        <w:t>-position algorithm</w:t>
      </w:r>
    </w:p>
    <w:p w14:paraId="111650CA" w14:textId="106C63AD" w:rsidR="002A282F" w:rsidRPr="00DF0833" w:rsidRDefault="002A282F" w:rsidP="002A282F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Because we want the trading algorithm to identify the trading signals that indicate opportunities to buy USO stock, we need to identify the times when the short-window SMA is greater than the long-window SMA. When this happens, the price trend for USO stock is moving upward in the short term and we want to own USO stock during this time.</w:t>
      </w:r>
    </w:p>
    <w:p w14:paraId="24B4D501" w14:textId="6A528397" w:rsidR="00EE6592" w:rsidRPr="00DF0833" w:rsidRDefault="00F039AB" w:rsidP="00EE659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Our performance analysis time-period is during Covid-19 which has had extreme effects on the market. Therefore, we will extend our time-period for the simulation to include a time before Covid, so the results are not misleading. The new time-period will be 10/31/1</w:t>
      </w:r>
      <w:r w:rsidR="006F5696" w:rsidRPr="00DF0833">
        <w:rPr>
          <w:rFonts w:ascii="Verdana" w:hAnsi="Verdana"/>
          <w:sz w:val="20"/>
          <w:szCs w:val="20"/>
        </w:rPr>
        <w:t>8</w:t>
      </w:r>
      <w:r w:rsidRPr="00DF0833">
        <w:rPr>
          <w:rFonts w:ascii="Verdana" w:hAnsi="Verdana"/>
          <w:sz w:val="20"/>
          <w:szCs w:val="20"/>
        </w:rPr>
        <w:t>-10/31/21.</w:t>
      </w:r>
    </w:p>
    <w:p w14:paraId="6163E045" w14:textId="71530241" w:rsidR="00EE6592" w:rsidRPr="00DF0833" w:rsidRDefault="00EE6592" w:rsidP="007867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Analysis of the long-position algorithm</w:t>
      </w:r>
    </w:p>
    <w:p w14:paraId="2448636A" w14:textId="0D171843" w:rsidR="00EE6592" w:rsidRPr="00DF0833" w:rsidRDefault="00EE6592" w:rsidP="00EE659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With the overlay plot, we can identify the trading signals from the algorithm. Specifically, the green, upward-pointing arrows indicate the entry points, and the red, downward-pointing arrows indicate the exit points. </w:t>
      </w:r>
    </w:p>
    <w:p w14:paraId="081AB035" w14:textId="7E8B0015" w:rsidR="00EE6592" w:rsidRPr="00DF0833" w:rsidRDefault="00EE6592" w:rsidP="00EE659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This algorithm can recognize the crossover points of the long- and short-window SMAs. A trade was entered when the “SMA50” value crossed above the “SMA100” value, and the trade was exited when the “SMA50” value crossed below the “SMA100” value.</w:t>
      </w:r>
    </w:p>
    <w:p w14:paraId="0D334B35" w14:textId="6CCD999A" w:rsidR="00EE6592" w:rsidRPr="00DF0833" w:rsidRDefault="00EE6592" w:rsidP="00EE659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This trading strategy is called a long position because it focuses on first buying the stock, then holding it, and then selling it only when the short-term price trend turns lower. The investor makes a profit using the “buy low, sell high” strategy.</w:t>
      </w:r>
    </w:p>
    <w:p w14:paraId="1E489266" w14:textId="34146E21" w:rsidR="007867D1" w:rsidRPr="00DF0833" w:rsidRDefault="007867D1" w:rsidP="007867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 xml:space="preserve">Back test the </w:t>
      </w:r>
      <w:r w:rsidR="00430303" w:rsidRPr="00DF0833">
        <w:rPr>
          <w:rFonts w:ascii="Verdana" w:hAnsi="Verdana"/>
          <w:sz w:val="20"/>
          <w:szCs w:val="20"/>
        </w:rPr>
        <w:t>long</w:t>
      </w:r>
      <w:r w:rsidRPr="00DF0833">
        <w:rPr>
          <w:rFonts w:ascii="Verdana" w:hAnsi="Verdana"/>
          <w:sz w:val="20"/>
          <w:szCs w:val="20"/>
        </w:rPr>
        <w:t>-position algorithm</w:t>
      </w:r>
      <w:r w:rsidR="00BE2754" w:rsidRPr="00DF0833">
        <w:rPr>
          <w:rFonts w:ascii="Verdana" w:hAnsi="Verdana"/>
          <w:sz w:val="20"/>
          <w:szCs w:val="20"/>
        </w:rPr>
        <w:t xml:space="preserve"> </w:t>
      </w:r>
    </w:p>
    <w:p w14:paraId="3AB3FEE4" w14:textId="2C5C721C" w:rsidR="00EE6592" w:rsidRPr="00DF0833" w:rsidRDefault="00BE2754" w:rsidP="00BE275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Now that we've built the algorithm, we can backtest its profitability. Backtesting is a method that allows us to assess how well a strategy works retrospectively, using historical data to validate how accurately the strategy would have predicted the actual results.</w:t>
      </w:r>
    </w:p>
    <w:p w14:paraId="14F89F8F" w14:textId="77777777" w:rsidR="007867D1" w:rsidRPr="00DF0833" w:rsidRDefault="007867D1" w:rsidP="007867D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Set amount- $100,000</w:t>
      </w:r>
    </w:p>
    <w:p w14:paraId="2188B79C" w14:textId="2D7690F5" w:rsidR="007867D1" w:rsidRPr="00DF0833" w:rsidRDefault="007867D1" w:rsidP="007867D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Define back testing period</w:t>
      </w:r>
      <w:r w:rsidR="006D0B32" w:rsidRPr="00DF0833">
        <w:rPr>
          <w:rFonts w:ascii="Verdana" w:hAnsi="Verdana"/>
          <w:sz w:val="20"/>
          <w:szCs w:val="20"/>
        </w:rPr>
        <w:t>- 10/31/18-10/31/21</w:t>
      </w:r>
    </w:p>
    <w:p w14:paraId="134D5ABA" w14:textId="6B2E6EB8" w:rsidR="000B0C37" w:rsidRPr="00DF0833" w:rsidRDefault="000B0C37" w:rsidP="000B0C37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Interpre</w:t>
      </w:r>
      <w:r w:rsidR="00EA34BD" w:rsidRPr="00DF0833">
        <w:rPr>
          <w:rFonts w:ascii="Verdana" w:hAnsi="Verdana"/>
          <w:sz w:val="20"/>
          <w:szCs w:val="20"/>
        </w:rPr>
        <w:t>t</w:t>
      </w:r>
      <w:r w:rsidRPr="00DF0833">
        <w:rPr>
          <w:rFonts w:ascii="Verdana" w:hAnsi="Verdana"/>
          <w:sz w:val="20"/>
          <w:szCs w:val="20"/>
        </w:rPr>
        <w:t xml:space="preserve"> Backtest Results from the Overlay Plot</w:t>
      </w:r>
    </w:p>
    <w:p w14:paraId="6D01903B" w14:textId="45BC0CBB" w:rsidR="00EA34BD" w:rsidRPr="00DF0833" w:rsidRDefault="00EA34BD" w:rsidP="00EA34BD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The Overlay Plot highlights the fact that the total value of the portfolio changed with each entry and exit of a 500-share position in USO.</w:t>
      </w:r>
    </w:p>
    <w:p w14:paraId="7007167A" w14:textId="163F8E58" w:rsidR="00EA34BD" w:rsidRPr="00DF0833" w:rsidRDefault="00EA34BD" w:rsidP="00EA34BD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The trading algorithm lost about 2,520 during the backtesting period overall, leaving us with a final portfolio value of 97,480. However, the loss was not consistent, the portfolio fluctuated and gained as much as 5,800.</w:t>
      </w:r>
    </w:p>
    <w:p w14:paraId="305C09B6" w14:textId="11EA78F1" w:rsidR="00EA34BD" w:rsidRPr="00DF0833" w:rsidRDefault="00EA34BD" w:rsidP="00EA34BD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Visualizing the potential upside and downside of an algorithm over time is just as important as measuring the profitability of any particular trade. In this case, if we </w:t>
      </w:r>
      <w:r w:rsidRPr="00DF0833">
        <w:rPr>
          <w:rFonts w:ascii="Verdana" w:hAnsi="Verdana"/>
          <w:sz w:val="20"/>
          <w:szCs w:val="20"/>
        </w:rPr>
        <w:lastRenderedPageBreak/>
        <w:t xml:space="preserve">relied on the initial time-period where inflation was high, the returns would be misleading for the investor. Overall trade performance was quite volatile which further shows that inflation news does have a strong relationship with oil because when inflation was lower or "normal", we see that USO did not perform as well. </w:t>
      </w:r>
    </w:p>
    <w:p w14:paraId="59B55F79" w14:textId="076FF941" w:rsidR="000B0C37" w:rsidRPr="00DF0833" w:rsidRDefault="00EA34BD" w:rsidP="00EA34BD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Based on this visual information, normally it would not be wise to use this algorithm—or buy this stock- for the portfolio of an investor who is risk averse or has a short-term time horizon, as there are lengthy periods in this algorithm when an investor would have experienced losses before eventually realizing a profit. However, because our investor is risk tolerant and has a long-term time horizon, I would recommend this stock for their portfolio. If nothing else, this stock provides a good hedging strategy for when the overall market is down.</w:t>
      </w:r>
    </w:p>
    <w:p w14:paraId="4A2868AC" w14:textId="2A36CC6E" w:rsidR="006D32E8" w:rsidRPr="00DF0833" w:rsidRDefault="006D32E8" w:rsidP="002364E6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Calculate performance metrics</w:t>
      </w:r>
    </w:p>
    <w:p w14:paraId="0B44616F" w14:textId="5252C86E" w:rsidR="006D32E8" w:rsidRPr="00DF0833" w:rsidRDefault="006D32E8" w:rsidP="006D32E8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</w:rPr>
        <w:t>Annual</w:t>
      </w:r>
      <w:r w:rsidR="00CD0D00" w:rsidRPr="00DF0833">
        <w:rPr>
          <w:rFonts w:ascii="Verdana" w:hAnsi="Verdana"/>
          <w:b/>
          <w:bCs/>
          <w:sz w:val="20"/>
          <w:szCs w:val="20"/>
        </w:rPr>
        <w:t>ized</w:t>
      </w:r>
      <w:r w:rsidRPr="00DF0833">
        <w:rPr>
          <w:rFonts w:ascii="Verdana" w:hAnsi="Verdana"/>
          <w:b/>
          <w:bCs/>
          <w:sz w:val="20"/>
          <w:szCs w:val="20"/>
        </w:rPr>
        <w:t xml:space="preserve"> return</w:t>
      </w:r>
      <w:r w:rsidR="002364E6" w:rsidRPr="00DF0833">
        <w:rPr>
          <w:rFonts w:ascii="Verdana" w:hAnsi="Verdana"/>
          <w:sz w:val="20"/>
          <w:szCs w:val="20"/>
        </w:rPr>
        <w:t>- represents the expected ROI over a time-period of one year.</w:t>
      </w:r>
      <w:r w:rsidR="009024C7" w:rsidRPr="00DF0833">
        <w:rPr>
          <w:rFonts w:ascii="Verdana" w:hAnsi="Verdana"/>
          <w:sz w:val="20"/>
          <w:szCs w:val="20"/>
        </w:rPr>
        <w:t xml:space="preserve"> In this case, the dollar value of the portfolio should decrease by about 0.59% each year.</w:t>
      </w:r>
    </w:p>
    <w:p w14:paraId="595A95B9" w14:textId="67E5FDA9" w:rsidR="006D32E8" w:rsidRPr="00DF0833" w:rsidRDefault="006D32E8" w:rsidP="006D32E8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</w:rPr>
        <w:t>Cumulative returns</w:t>
      </w:r>
      <w:r w:rsidR="002364E6" w:rsidRPr="00DF0833">
        <w:rPr>
          <w:rFonts w:ascii="Verdana" w:hAnsi="Verdana"/>
          <w:b/>
          <w:bCs/>
          <w:sz w:val="20"/>
          <w:szCs w:val="20"/>
        </w:rPr>
        <w:t>-</w:t>
      </w:r>
      <w:r w:rsidR="002364E6" w:rsidRPr="00DF0833">
        <w:rPr>
          <w:rFonts w:ascii="Verdana" w:hAnsi="Verdana"/>
          <w:sz w:val="20"/>
          <w:szCs w:val="20"/>
        </w:rPr>
        <w:t xml:space="preserve"> represents the percentage gain or percentage loss for an investment across the entire investment.</w:t>
      </w:r>
      <w:r w:rsidR="004A1852" w:rsidRPr="00DF0833">
        <w:rPr>
          <w:rFonts w:ascii="Verdana" w:hAnsi="Verdana"/>
          <w:sz w:val="20"/>
          <w:szCs w:val="20"/>
        </w:rPr>
        <w:t xml:space="preserve"> In this case, the dollar value of the portfolio decreased by approximately 2.52% over the backtesting period.</w:t>
      </w:r>
    </w:p>
    <w:p w14:paraId="032EAF1B" w14:textId="21524024" w:rsidR="006D32E8" w:rsidRPr="00DF0833" w:rsidRDefault="006D32E8" w:rsidP="006D32E8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</w:rPr>
        <w:t>Annual volatility</w:t>
      </w:r>
      <w:r w:rsidR="002364E6" w:rsidRPr="00DF0833">
        <w:rPr>
          <w:rFonts w:ascii="Verdana" w:hAnsi="Verdana"/>
          <w:sz w:val="20"/>
          <w:szCs w:val="20"/>
        </w:rPr>
        <w:t xml:space="preserve">- represents the standard deviation of the asset’s daily return values measured on an annualized basis. </w:t>
      </w:r>
      <w:r w:rsidR="004A1852" w:rsidRPr="00DF0833">
        <w:rPr>
          <w:rFonts w:ascii="Verdana" w:hAnsi="Verdana"/>
          <w:sz w:val="20"/>
          <w:szCs w:val="20"/>
        </w:rPr>
        <w:t>The annual volatility of the portfolio has a spread of about 7.20% surrounding the annualized return. This means that the portfolio might return as much as 6.61% (-0.59% + 7.20%) or lose as much as 7.79% (-0.59% − 7.20%) per year.</w:t>
      </w:r>
    </w:p>
    <w:p w14:paraId="31004A91" w14:textId="458116CB" w:rsidR="006D32E8" w:rsidRPr="00DF0833" w:rsidRDefault="006D32E8" w:rsidP="006D32E8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</w:rPr>
        <w:t>Sharpe Ratio</w:t>
      </w:r>
      <w:r w:rsidR="00CD0D00" w:rsidRPr="00DF0833">
        <w:rPr>
          <w:rFonts w:ascii="Verdana" w:hAnsi="Verdana"/>
          <w:sz w:val="20"/>
          <w:szCs w:val="20"/>
        </w:rPr>
        <w:t>- measures an asset's outperformance as compared to the asset’s volatility where volatility is characterized by the standard deviation of its daily return values.</w:t>
      </w:r>
      <w:r w:rsidR="004A1852" w:rsidRPr="00DF0833">
        <w:rPr>
          <w:rFonts w:ascii="Verdana" w:hAnsi="Verdana"/>
          <w:sz w:val="20"/>
          <w:szCs w:val="20"/>
        </w:rPr>
        <w:t xml:space="preserve"> The Sharpe ratio is -0.082. In general, a higher Sharpe ratio indicates a better risk/reward profile. However, a single Sharpe ratio doesn’t offer much insight. It’s best to compare it with the Sharpe ratios of other portfolios to determine which one offers the best profile. </w:t>
      </w:r>
    </w:p>
    <w:p w14:paraId="6F1BE1A3" w14:textId="2789E111" w:rsidR="006D32E8" w:rsidRPr="00DF0833" w:rsidRDefault="006D32E8" w:rsidP="006D32E8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</w:rPr>
        <w:t>Sortino Ratio</w:t>
      </w:r>
      <w:r w:rsidR="00CD0D00" w:rsidRPr="00DF0833">
        <w:rPr>
          <w:rFonts w:ascii="Verdana" w:hAnsi="Verdana"/>
          <w:sz w:val="20"/>
          <w:szCs w:val="20"/>
        </w:rPr>
        <w:t>- measures the downside volatility of the asset.</w:t>
      </w:r>
      <w:r w:rsidR="004A1852" w:rsidRPr="00DF0833">
        <w:rPr>
          <w:rFonts w:ascii="Verdana" w:hAnsi="Verdana"/>
          <w:sz w:val="20"/>
          <w:szCs w:val="20"/>
        </w:rPr>
        <w:t xml:space="preserve"> The Sortino ratio of our portfolio suggests a rate of about -0.106 for the risk-adjusted annual profitability compared to the annual downside risk. As with the Sharpe ratio, a higher Sortino ratio is better. A</w:t>
      </w:r>
      <w:r w:rsidR="00F14F54" w:rsidRPr="00DF0833">
        <w:rPr>
          <w:rFonts w:ascii="Verdana" w:hAnsi="Verdana"/>
          <w:sz w:val="20"/>
          <w:szCs w:val="20"/>
        </w:rPr>
        <w:t>lso</w:t>
      </w:r>
      <w:r w:rsidR="004A1852" w:rsidRPr="00DF0833">
        <w:rPr>
          <w:rFonts w:ascii="Verdana" w:hAnsi="Verdana"/>
          <w:sz w:val="20"/>
          <w:szCs w:val="20"/>
        </w:rPr>
        <w:t>, it’s best to compare it with the Sortino ratios of other portfolios.</w:t>
      </w:r>
    </w:p>
    <w:p w14:paraId="6710D100" w14:textId="648B52EF" w:rsidR="007867D1" w:rsidRPr="00DF0833" w:rsidRDefault="004A1852" w:rsidP="007867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Evaluation</w:t>
      </w:r>
    </w:p>
    <w:p w14:paraId="71C5756D" w14:textId="1FB6A0AF" w:rsidR="004A1852" w:rsidRPr="00DF0833" w:rsidRDefault="004A1852" w:rsidP="004A1852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Overall, the portfolio did not perform well during the backtesting period, but the losses are not crippling for a risk tolerant investor with a long-time horizon. Once again, this investment works very well as a hedging strategy</w:t>
      </w:r>
      <w:r w:rsidR="00C86793" w:rsidRPr="00DF0833">
        <w:rPr>
          <w:rFonts w:ascii="Verdana" w:hAnsi="Verdana"/>
          <w:sz w:val="20"/>
          <w:szCs w:val="20"/>
        </w:rPr>
        <w:t xml:space="preserve"> for when the overall market is down</w:t>
      </w:r>
      <w:r w:rsidRPr="00DF0833">
        <w:rPr>
          <w:rFonts w:ascii="Verdana" w:hAnsi="Verdana"/>
          <w:sz w:val="20"/>
          <w:szCs w:val="20"/>
        </w:rPr>
        <w:t>.</w:t>
      </w:r>
    </w:p>
    <w:p w14:paraId="609F1F1A" w14:textId="77777777" w:rsidR="00664694" w:rsidRPr="00DF0833" w:rsidRDefault="00664694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88484C3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69111917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0FE4345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7A4F6094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70EDFF71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770FAB6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EE24C83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B498769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6449107D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469E3A1C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7E9047BA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0166AC5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AD59A81" w14:textId="2EA2A165" w:rsidR="00664694" w:rsidRPr="00DF0833" w:rsidRDefault="00DF0833" w:rsidP="00664694">
      <w:pPr>
        <w:rPr>
          <w:rFonts w:ascii="Verdana" w:hAnsi="Verdana"/>
          <w:b/>
          <w:bCs/>
          <w:sz w:val="20"/>
          <w:szCs w:val="20"/>
          <w:u w:val="single"/>
        </w:rPr>
      </w:pPr>
      <w:r w:rsidRPr="00DF0833">
        <w:rPr>
          <w:rFonts w:ascii="Verdana" w:hAnsi="Verdana"/>
          <w:b/>
          <w:bCs/>
          <w:sz w:val="20"/>
          <w:szCs w:val="20"/>
          <w:u w:val="single"/>
        </w:rPr>
        <w:lastRenderedPageBreak/>
        <w:t>Second</w:t>
      </w:r>
      <w:r w:rsidRPr="00DF0833">
        <w:rPr>
          <w:rFonts w:ascii="Verdana" w:hAnsi="Verdana"/>
          <w:b/>
          <w:bCs/>
          <w:sz w:val="20"/>
          <w:szCs w:val="20"/>
          <w:u w:val="single"/>
        </w:rPr>
        <w:t xml:space="preserve"> Notebook</w:t>
      </w:r>
      <w:r w:rsidR="00664694" w:rsidRPr="00DF0833">
        <w:rPr>
          <w:rFonts w:ascii="Verdana" w:hAnsi="Verdana"/>
          <w:sz w:val="20"/>
          <w:szCs w:val="20"/>
          <w:u w:val="single"/>
        </w:rPr>
        <w:br/>
      </w:r>
    </w:p>
    <w:p w14:paraId="581AEB0F" w14:textId="3A1B033C" w:rsidR="00664694" w:rsidRPr="00DF0833" w:rsidRDefault="00664694" w:rsidP="0066469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 xml:space="preserve">Based on the results in part 1, </w:t>
      </w:r>
      <w:r w:rsidR="00C43413" w:rsidRPr="00DF0833">
        <w:rPr>
          <w:rFonts w:ascii="Verdana" w:hAnsi="Verdana"/>
          <w:sz w:val="20"/>
          <w:szCs w:val="20"/>
        </w:rPr>
        <w:t>build an algorithmic trading bot to</w:t>
      </w:r>
      <w:r w:rsidRPr="00DF0833">
        <w:rPr>
          <w:rFonts w:ascii="Verdana" w:hAnsi="Verdana"/>
          <w:sz w:val="20"/>
          <w:szCs w:val="20"/>
        </w:rPr>
        <w:t xml:space="preserve"> </w:t>
      </w:r>
      <w:r w:rsidR="00F92E95" w:rsidRPr="00DF0833">
        <w:rPr>
          <w:rFonts w:ascii="Verdana" w:hAnsi="Verdana"/>
          <w:sz w:val="20"/>
          <w:szCs w:val="20"/>
        </w:rPr>
        <w:t xml:space="preserve">create trading signals for </w:t>
      </w:r>
      <w:r w:rsidR="000E3E32" w:rsidRPr="00DF0833">
        <w:rPr>
          <w:rFonts w:ascii="Verdana" w:hAnsi="Verdana"/>
          <w:sz w:val="20"/>
          <w:szCs w:val="20"/>
        </w:rPr>
        <w:t>USO</w:t>
      </w:r>
    </w:p>
    <w:p w14:paraId="0DEE4874" w14:textId="77777777" w:rsidR="00BD6C6F" w:rsidRPr="00DF0833" w:rsidRDefault="005D1898" w:rsidP="00F92E9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Define t</w:t>
      </w:r>
      <w:r w:rsidR="00664694" w:rsidRPr="00DF0833">
        <w:rPr>
          <w:rFonts w:ascii="Verdana" w:hAnsi="Verdana"/>
          <w:sz w:val="20"/>
          <w:szCs w:val="20"/>
        </w:rPr>
        <w:t>rading strategy</w:t>
      </w:r>
    </w:p>
    <w:p w14:paraId="49CB574A" w14:textId="06BA07E2" w:rsidR="00F92E95" w:rsidRPr="00DF0833" w:rsidRDefault="007F2D11" w:rsidP="00BD6C6F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>When actual returns are greater than or equal to 0, buy stock long but if actual returns are less than 0, sell stock short.</w:t>
      </w:r>
    </w:p>
    <w:p w14:paraId="7A075B3C" w14:textId="77777777" w:rsidR="004F12EF" w:rsidRPr="00DF0833" w:rsidRDefault="00F92E95" w:rsidP="00F92E9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Create trading signals for actual returns</w:t>
      </w:r>
      <w:r w:rsidR="004F12EF" w:rsidRPr="00DF0833">
        <w:rPr>
          <w:rFonts w:ascii="Verdana" w:hAnsi="Verdana"/>
          <w:sz w:val="20"/>
          <w:szCs w:val="20"/>
        </w:rPr>
        <w:t xml:space="preserve"> and </w:t>
      </w:r>
      <w:r w:rsidRPr="00DF0833">
        <w:rPr>
          <w:rFonts w:ascii="Verdana" w:hAnsi="Verdana"/>
          <w:sz w:val="20"/>
          <w:szCs w:val="20"/>
        </w:rPr>
        <w:t xml:space="preserve">strategy returns </w:t>
      </w:r>
    </w:p>
    <w:p w14:paraId="17E8DA48" w14:textId="70879A35" w:rsidR="00866D4C" w:rsidRPr="00DF0833" w:rsidRDefault="00B728AE" w:rsidP="007E527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Use the </w:t>
      </w:r>
      <w:r w:rsidR="00866D4C" w:rsidRPr="00DF0833">
        <w:rPr>
          <w:rFonts w:ascii="Verdana" w:hAnsi="Verdana"/>
          <w:sz w:val="20"/>
          <w:szCs w:val="20"/>
        </w:rPr>
        <w:t>linear regression to predict the returns</w:t>
      </w:r>
      <w:r w:rsidR="00431BC7" w:rsidRPr="00DF0833">
        <w:rPr>
          <w:rFonts w:ascii="Verdana" w:hAnsi="Verdana"/>
          <w:sz w:val="20"/>
          <w:szCs w:val="20"/>
        </w:rPr>
        <w:t xml:space="preserve"> and analyze these returns</w:t>
      </w:r>
    </w:p>
    <w:p w14:paraId="7EC539C2" w14:textId="02C909A1" w:rsidR="00027CE9" w:rsidRPr="00DF0833" w:rsidRDefault="00027CE9" w:rsidP="00027CE9">
      <w:pPr>
        <w:pStyle w:val="ListParagraph"/>
        <w:numPr>
          <w:ilvl w:val="0"/>
          <w:numId w:val="18"/>
        </w:numPr>
        <w:rPr>
          <w:rFonts w:ascii="Verdana" w:eastAsia="Times New Roman" w:hAnsi="Verdana" w:cs="Calibri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Out of the three RMSE scores, the out-of-sample RMSE is the lowest with a value of </w:t>
      </w:r>
      <w:r w:rsidRPr="00DF0833">
        <w:rPr>
          <w:rFonts w:ascii="Verdana" w:eastAsia="Times New Roman" w:hAnsi="Verdana" w:cs="Calibri"/>
          <w:sz w:val="20"/>
          <w:szCs w:val="20"/>
        </w:rPr>
        <w:t>0.019</w:t>
      </w:r>
      <w:r w:rsidR="00F74D6B" w:rsidRPr="00DF0833">
        <w:rPr>
          <w:rFonts w:ascii="Verdana" w:eastAsia="Times New Roman" w:hAnsi="Verdana" w:cs="Calibri"/>
          <w:sz w:val="20"/>
          <w:szCs w:val="20"/>
        </w:rPr>
        <w:t>1</w:t>
      </w:r>
      <w:r w:rsidRPr="00DF0833">
        <w:rPr>
          <w:rFonts w:ascii="Verdana" w:eastAsia="Times New Roman" w:hAnsi="Verdana" w:cs="Calibri"/>
          <w:sz w:val="20"/>
          <w:szCs w:val="20"/>
        </w:rPr>
        <w:t xml:space="preserve">. </w:t>
      </w:r>
      <w:r w:rsidRPr="00DF0833">
        <w:rPr>
          <w:rFonts w:ascii="Verdana" w:hAnsi="Verdana"/>
          <w:sz w:val="20"/>
          <w:szCs w:val="20"/>
        </w:rPr>
        <w:t>Therefore, it is better to use out-of-sample data that the model hasn't seen before because it gives us a higher accuracy in our predictions and thus a better performance than in-sample data that the model was trained on. This makes sense if we factor in how inflation is constantly changing and unpredictable.</w:t>
      </w:r>
    </w:p>
    <w:p w14:paraId="30C39BA0" w14:textId="034BFDB1" w:rsidR="00431BC7" w:rsidRPr="00DF0833" w:rsidRDefault="00431BC7" w:rsidP="007E527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Conclusion</w:t>
      </w:r>
    </w:p>
    <w:p w14:paraId="671A91BA" w14:textId="77777777" w:rsidR="00431BC7" w:rsidRPr="00DF0833" w:rsidRDefault="00431BC7" w:rsidP="00431BC7">
      <w:pPr>
        <w:pStyle w:val="ListParagraph"/>
        <w:numPr>
          <w:ilvl w:val="1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Based on baseline performance and predicted returns, determine if you should buy or sell.</w:t>
      </w:r>
    </w:p>
    <w:p w14:paraId="200D64B3" w14:textId="77777777" w:rsidR="00431BC7" w:rsidRPr="00DF0833" w:rsidRDefault="00431BC7" w:rsidP="00431BC7">
      <w:pPr>
        <w:pStyle w:val="ListParagraph"/>
        <w:numPr>
          <w:ilvl w:val="2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 xml:space="preserve">Based on the baseline performance and predicted returns, I would advise the investor to buy the stocks as the model shows the predicted results will be higher. </w:t>
      </w:r>
    </w:p>
    <w:p w14:paraId="69923D0F" w14:textId="158B677A" w:rsidR="00CA44AD" w:rsidRPr="00DF0833" w:rsidRDefault="00CA44AD" w:rsidP="00431BC7">
      <w:pPr>
        <w:pStyle w:val="ListParagraph"/>
        <w:numPr>
          <w:ilvl w:val="1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Adjust the algorithm’s input features to find the parameters that result in the best trading outcomes</w:t>
      </w:r>
    </w:p>
    <w:p w14:paraId="0FCDCCE3" w14:textId="62D27DFA" w:rsidR="00CA44AD" w:rsidRPr="00DF0833" w:rsidRDefault="00CA44AD" w:rsidP="00431BC7">
      <w:pPr>
        <w:pStyle w:val="ListParagraph"/>
        <w:numPr>
          <w:ilvl w:val="2"/>
          <w:numId w:val="8"/>
        </w:numPr>
        <w:rPr>
          <w:rFonts w:ascii="Verdana" w:hAnsi="Verdana"/>
          <w:sz w:val="20"/>
          <w:szCs w:val="20"/>
        </w:rPr>
      </w:pPr>
      <w:r w:rsidRPr="00DF0833">
        <w:rPr>
          <w:rFonts w:ascii="Verdana" w:hAnsi="Verdana"/>
          <w:sz w:val="20"/>
          <w:szCs w:val="20"/>
        </w:rPr>
        <w:t>Adjust</w:t>
      </w:r>
      <w:r w:rsidR="00210E84" w:rsidRPr="00DF0833">
        <w:rPr>
          <w:rFonts w:ascii="Verdana" w:hAnsi="Verdana"/>
          <w:sz w:val="20"/>
          <w:szCs w:val="20"/>
        </w:rPr>
        <w:t>ed</w:t>
      </w:r>
      <w:r w:rsidRPr="00DF0833">
        <w:rPr>
          <w:rFonts w:ascii="Verdana" w:hAnsi="Verdana"/>
          <w:sz w:val="20"/>
          <w:szCs w:val="20"/>
        </w:rPr>
        <w:t xml:space="preserve"> the SMA input features</w:t>
      </w:r>
      <w:r w:rsidR="00431BC7" w:rsidRPr="00DF0833">
        <w:rPr>
          <w:rFonts w:ascii="Verdana" w:hAnsi="Verdana"/>
          <w:sz w:val="20"/>
          <w:szCs w:val="20"/>
        </w:rPr>
        <w:t>, tried different window sizes but the out-of-sample RMSE remained the lowest of the three</w:t>
      </w:r>
    </w:p>
    <w:p w14:paraId="40369ADB" w14:textId="6A1826DF" w:rsidR="00F74D6B" w:rsidRPr="00DF0833" w:rsidRDefault="00431BC7" w:rsidP="00431BC7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  <w:u w:val="single"/>
        </w:rPr>
      </w:pPr>
      <w:r w:rsidRPr="00DF0833">
        <w:rPr>
          <w:rFonts w:ascii="Verdana" w:hAnsi="Verdana"/>
          <w:sz w:val="20"/>
          <w:szCs w:val="20"/>
        </w:rPr>
        <w:t xml:space="preserve">Overall, the investor is risk tolerant and this investment is a hedging strategy in times of high </w:t>
      </w:r>
      <w:r w:rsidR="00F14F54" w:rsidRPr="00DF0833">
        <w:rPr>
          <w:rFonts w:ascii="Verdana" w:hAnsi="Verdana"/>
          <w:sz w:val="20"/>
          <w:szCs w:val="20"/>
        </w:rPr>
        <w:t>inflation,</w:t>
      </w:r>
      <w:r w:rsidRPr="00DF0833">
        <w:rPr>
          <w:rFonts w:ascii="Verdana" w:hAnsi="Verdana"/>
          <w:sz w:val="20"/>
          <w:szCs w:val="20"/>
        </w:rPr>
        <w:t xml:space="preserve"> so the volatility and its performance are not deterrent</w:t>
      </w:r>
      <w:r w:rsidR="007C4E13" w:rsidRPr="00DF0833">
        <w:rPr>
          <w:rFonts w:ascii="Verdana" w:hAnsi="Verdana"/>
          <w:sz w:val="20"/>
          <w:szCs w:val="20"/>
        </w:rPr>
        <w:t>s</w:t>
      </w:r>
      <w:r w:rsidRPr="00DF0833">
        <w:rPr>
          <w:rFonts w:ascii="Verdana" w:hAnsi="Verdana"/>
          <w:sz w:val="20"/>
          <w:szCs w:val="20"/>
        </w:rPr>
        <w:t xml:space="preserve">. </w:t>
      </w:r>
    </w:p>
    <w:p w14:paraId="6DD14C6A" w14:textId="31766D98" w:rsidR="002459A9" w:rsidRPr="00DF0833" w:rsidRDefault="002459A9" w:rsidP="00DF0833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0E7DAC3" w14:textId="77777777" w:rsidR="002459A9" w:rsidRDefault="002459A9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95FDF05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73B68440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614B20A6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4EC50F2B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6AC4868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3260306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AA525A6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470FDD13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A172BFD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F31CBCE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4CC03FFC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4520FD7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6DEBAD9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498C9B71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147C8C62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06AC47F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C73FD0B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A92D2A5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1BA0B715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BEBBAA1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3B0072BF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4ABD03E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6300BEBF" w14:textId="77777777" w:rsidR="009D18F7" w:rsidRDefault="009D18F7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23C37AE0" w14:textId="6C7F1976" w:rsidR="008015A1" w:rsidRDefault="008015A1" w:rsidP="00664694">
      <w:pPr>
        <w:rPr>
          <w:rFonts w:ascii="Verdana" w:hAnsi="Verdana"/>
          <w:b/>
          <w:bCs/>
          <w:sz w:val="20"/>
          <w:szCs w:val="20"/>
          <w:u w:val="single"/>
        </w:rPr>
      </w:pPr>
      <w:r w:rsidRPr="008015A1">
        <w:rPr>
          <w:rFonts w:ascii="Verdana" w:hAnsi="Verdana"/>
          <w:b/>
          <w:bCs/>
          <w:sz w:val="20"/>
          <w:szCs w:val="20"/>
          <w:u w:val="single"/>
        </w:rPr>
        <w:lastRenderedPageBreak/>
        <w:t>Sources</w:t>
      </w:r>
    </w:p>
    <w:p w14:paraId="49740314" w14:textId="623C6AE7" w:rsidR="007C6456" w:rsidRDefault="007C6456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6DBED3E9" w14:textId="1890AC1A" w:rsidR="002459A9" w:rsidRDefault="002459A9" w:rsidP="00E1171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 inflation rate over specified time period</w:t>
      </w:r>
    </w:p>
    <w:p w14:paraId="1D6588D2" w14:textId="5192E2C4" w:rsidR="002459A9" w:rsidRDefault="009D18F7" w:rsidP="00E11716">
      <w:pPr>
        <w:pStyle w:val="ListParagraph"/>
        <w:rPr>
          <w:rFonts w:ascii="Verdana" w:hAnsi="Verdana"/>
          <w:sz w:val="20"/>
          <w:szCs w:val="20"/>
        </w:rPr>
      </w:pPr>
      <w:hyperlink r:id="rId5" w:history="1">
        <w:r w:rsidR="002459A9" w:rsidRPr="00346A88">
          <w:rPr>
            <w:rStyle w:val="Hyperlink"/>
            <w:rFonts w:ascii="Verdana" w:hAnsi="Verdana"/>
            <w:sz w:val="20"/>
            <w:szCs w:val="20"/>
          </w:rPr>
          <w:t>https://tradingeconomics.com/united-states/inflation-cpi</w:t>
        </w:r>
      </w:hyperlink>
    </w:p>
    <w:p w14:paraId="0EB308A0" w14:textId="0DFEA1A6" w:rsidR="002459A9" w:rsidRDefault="009C4828" w:rsidP="00E1171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Inflation Definition</w:t>
      </w:r>
    </w:p>
    <w:p w14:paraId="7C8C2576" w14:textId="1322BCC6" w:rsidR="009C4828" w:rsidRDefault="009D18F7" w:rsidP="00E11716">
      <w:pPr>
        <w:pStyle w:val="ListParagraph"/>
        <w:rPr>
          <w:rFonts w:ascii="Verdana" w:hAnsi="Verdana"/>
          <w:sz w:val="20"/>
          <w:szCs w:val="20"/>
        </w:rPr>
      </w:pPr>
      <w:hyperlink r:id="rId6" w:history="1">
        <w:r w:rsidR="009C4828" w:rsidRPr="0079008B">
          <w:rPr>
            <w:rStyle w:val="Hyperlink"/>
            <w:rFonts w:ascii="Verdana" w:hAnsi="Verdana"/>
            <w:sz w:val="20"/>
            <w:szCs w:val="20"/>
          </w:rPr>
          <w:t>https://www.investopedia.com/terms/i/inflation.asp</w:t>
        </w:r>
      </w:hyperlink>
    </w:p>
    <w:p w14:paraId="4D430DBB" w14:textId="77777777" w:rsidR="009C4828" w:rsidRPr="009C4828" w:rsidRDefault="009C4828" w:rsidP="00E11716">
      <w:pPr>
        <w:pStyle w:val="Heading1"/>
        <w:numPr>
          <w:ilvl w:val="0"/>
          <w:numId w:val="7"/>
        </w:numPr>
        <w:spacing w:before="0"/>
        <w:rPr>
          <w:rFonts w:ascii="Verdana" w:eastAsiaTheme="minorHAnsi" w:hAnsi="Verdana" w:cstheme="minorBidi"/>
          <w:color w:val="auto"/>
          <w:sz w:val="20"/>
          <w:szCs w:val="20"/>
        </w:rPr>
      </w:pPr>
      <w:r w:rsidRPr="009C4828">
        <w:rPr>
          <w:rFonts w:ascii="Verdana" w:eastAsiaTheme="minorHAnsi" w:hAnsi="Verdana" w:cstheme="minorBidi"/>
          <w:color w:val="auto"/>
          <w:sz w:val="20"/>
          <w:szCs w:val="20"/>
        </w:rPr>
        <w:t>Effects of inflation on investments</w:t>
      </w:r>
    </w:p>
    <w:p w14:paraId="36B0AC3B" w14:textId="0CD97A3F" w:rsidR="009C4828" w:rsidRDefault="009D18F7" w:rsidP="00E11716">
      <w:pPr>
        <w:pStyle w:val="ListParagraph"/>
        <w:rPr>
          <w:rFonts w:ascii="Verdana" w:hAnsi="Verdana"/>
          <w:sz w:val="20"/>
          <w:szCs w:val="20"/>
        </w:rPr>
      </w:pPr>
      <w:hyperlink r:id="rId7" w:history="1">
        <w:r w:rsidR="009C4828" w:rsidRPr="0079008B">
          <w:rPr>
            <w:rStyle w:val="Hyperlink"/>
            <w:rFonts w:ascii="Verdana" w:hAnsi="Verdana"/>
            <w:sz w:val="20"/>
            <w:szCs w:val="20"/>
          </w:rPr>
          <w:t>https://www.usbank.com/financialiq/invest-your-money/investment-strategies/effects-of-inflation-on-investments.html</w:t>
        </w:r>
      </w:hyperlink>
    </w:p>
    <w:p w14:paraId="1141765D" w14:textId="473E58BB" w:rsidR="009F5B55" w:rsidRDefault="009F5B55" w:rsidP="00E1171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Causes of Inflation</w:t>
      </w:r>
    </w:p>
    <w:p w14:paraId="665EB889" w14:textId="75CB954C" w:rsidR="009F5B55" w:rsidRPr="009F5B55" w:rsidRDefault="009D18F7" w:rsidP="00E11716">
      <w:pPr>
        <w:ind w:left="720"/>
        <w:rPr>
          <w:rFonts w:ascii="Verdana" w:hAnsi="Verdana"/>
          <w:sz w:val="20"/>
          <w:szCs w:val="20"/>
        </w:rPr>
      </w:pPr>
      <w:hyperlink r:id="rId8" w:history="1">
        <w:r w:rsidR="009F5B55" w:rsidRPr="0079008B">
          <w:rPr>
            <w:rStyle w:val="Hyperlink"/>
            <w:rFonts w:ascii="Verdana" w:hAnsi="Verdana"/>
            <w:sz w:val="20"/>
            <w:szCs w:val="20"/>
          </w:rPr>
          <w:t>https://www.economicshelp.org/macroeconomics/inflation/causes-inflation/</w:t>
        </w:r>
      </w:hyperlink>
    </w:p>
    <w:p w14:paraId="17656BF3" w14:textId="77777777" w:rsidR="00E11716" w:rsidRPr="00E11716" w:rsidRDefault="00E11716" w:rsidP="00E93309">
      <w:pPr>
        <w:pStyle w:val="Heading1"/>
        <w:numPr>
          <w:ilvl w:val="0"/>
          <w:numId w:val="7"/>
        </w:numPr>
        <w:spacing w:before="0"/>
        <w:rPr>
          <w:rFonts w:ascii="Verdana" w:eastAsiaTheme="minorHAnsi" w:hAnsi="Verdana" w:cstheme="minorBidi"/>
          <w:color w:val="auto"/>
          <w:sz w:val="20"/>
          <w:szCs w:val="20"/>
        </w:rPr>
      </w:pPr>
      <w:r w:rsidRPr="00E11716">
        <w:rPr>
          <w:rFonts w:ascii="Verdana" w:eastAsiaTheme="minorHAnsi" w:hAnsi="Verdana" w:cstheme="minorBidi"/>
          <w:color w:val="auto"/>
          <w:sz w:val="20"/>
          <w:szCs w:val="20"/>
        </w:rPr>
        <w:t>Commodities: The Portfolio Hedge</w:t>
      </w:r>
    </w:p>
    <w:p w14:paraId="22A02856" w14:textId="16EC596F" w:rsidR="009C4828" w:rsidRDefault="009D18F7" w:rsidP="00E93309">
      <w:pPr>
        <w:pStyle w:val="ListParagraph"/>
        <w:rPr>
          <w:rFonts w:ascii="Verdana" w:hAnsi="Verdana"/>
          <w:sz w:val="20"/>
          <w:szCs w:val="20"/>
        </w:rPr>
      </w:pPr>
      <w:hyperlink r:id="rId9" w:history="1">
        <w:r w:rsidR="00E11716" w:rsidRPr="0079008B">
          <w:rPr>
            <w:rStyle w:val="Hyperlink"/>
            <w:rFonts w:ascii="Verdana" w:hAnsi="Verdana"/>
            <w:sz w:val="20"/>
            <w:szCs w:val="20"/>
          </w:rPr>
          <w:t>https://www.investopedia.com/articles/trading/05/021605.asp</w:t>
        </w:r>
      </w:hyperlink>
    </w:p>
    <w:p w14:paraId="206B0C61" w14:textId="77777777" w:rsidR="00B46C8A" w:rsidRPr="00B46C8A" w:rsidRDefault="00B46C8A" w:rsidP="00E93309">
      <w:pPr>
        <w:pStyle w:val="Heading1"/>
        <w:numPr>
          <w:ilvl w:val="0"/>
          <w:numId w:val="7"/>
        </w:numPr>
        <w:spacing w:before="0"/>
        <w:rPr>
          <w:rFonts w:ascii="Verdana" w:eastAsiaTheme="minorHAnsi" w:hAnsi="Verdana" w:cstheme="minorBidi"/>
          <w:color w:val="auto"/>
          <w:sz w:val="20"/>
          <w:szCs w:val="20"/>
        </w:rPr>
      </w:pPr>
      <w:r w:rsidRPr="00B46C8A">
        <w:rPr>
          <w:rFonts w:ascii="Verdana" w:eastAsiaTheme="minorHAnsi" w:hAnsi="Verdana" w:cstheme="minorBidi"/>
          <w:color w:val="auto"/>
          <w:sz w:val="20"/>
          <w:szCs w:val="20"/>
        </w:rPr>
        <w:t>Sectors to consider if inflation continues to rise</w:t>
      </w:r>
    </w:p>
    <w:p w14:paraId="42476C41" w14:textId="34FE6F10" w:rsidR="00E11716" w:rsidRDefault="009D18F7" w:rsidP="00B46C8A">
      <w:pPr>
        <w:pStyle w:val="ListParagraph"/>
        <w:rPr>
          <w:rFonts w:ascii="Verdana" w:hAnsi="Verdana"/>
          <w:sz w:val="20"/>
          <w:szCs w:val="20"/>
        </w:rPr>
      </w:pPr>
      <w:hyperlink r:id="rId10" w:history="1">
        <w:r w:rsidR="00B46C8A" w:rsidRPr="0079008B">
          <w:rPr>
            <w:rStyle w:val="Hyperlink"/>
            <w:rFonts w:ascii="Verdana" w:hAnsi="Verdana"/>
            <w:sz w:val="20"/>
            <w:szCs w:val="20"/>
          </w:rPr>
          <w:t>https://www.synovus.com/personal/resource-center/financial-newsletters/2021/february/sectors-to-consider-if-inflation-continues-to-rise</w:t>
        </w:r>
      </w:hyperlink>
    </w:p>
    <w:p w14:paraId="4F87D638" w14:textId="77777777" w:rsidR="00B46C8A" w:rsidRPr="00B46C8A" w:rsidRDefault="00B46C8A" w:rsidP="00B46C8A">
      <w:pPr>
        <w:pStyle w:val="ListParagraph"/>
        <w:rPr>
          <w:rFonts w:ascii="Verdana" w:hAnsi="Verdana"/>
          <w:sz w:val="20"/>
          <w:szCs w:val="20"/>
        </w:rPr>
      </w:pPr>
    </w:p>
    <w:p w14:paraId="1FEA7E95" w14:textId="0206CC8F" w:rsidR="007E5279" w:rsidRDefault="007E5279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9E246CA" w14:textId="58C2A01B" w:rsidR="007E5279" w:rsidRDefault="007E5279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1FD9753F" w14:textId="27571E7C" w:rsidR="007E5279" w:rsidRDefault="007E5279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43952B6" w14:textId="3626FDE3" w:rsidR="00C70F9D" w:rsidRDefault="00C70F9D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10E6CB47" w14:textId="01112628" w:rsidR="00C70F9D" w:rsidRDefault="00C70F9D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9F18B53" w14:textId="127AAAE0" w:rsidR="00C70F9D" w:rsidRDefault="00C70F9D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06FA0971" w14:textId="4148D668" w:rsidR="00C70F9D" w:rsidRDefault="00C70F9D" w:rsidP="00664694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5FB6687F" w14:textId="77777777" w:rsidR="006337E5" w:rsidRPr="00414E08" w:rsidRDefault="006337E5" w:rsidP="00414E08">
      <w:pPr>
        <w:rPr>
          <w:rFonts w:ascii="Verdana" w:hAnsi="Verdana"/>
          <w:sz w:val="20"/>
          <w:szCs w:val="20"/>
        </w:rPr>
      </w:pPr>
    </w:p>
    <w:sectPr w:rsidR="006337E5" w:rsidRPr="0041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7F9"/>
    <w:multiLevelType w:val="multilevel"/>
    <w:tmpl w:val="61A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A06E8"/>
    <w:multiLevelType w:val="hybridMultilevel"/>
    <w:tmpl w:val="6CB012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225FA"/>
    <w:multiLevelType w:val="hybridMultilevel"/>
    <w:tmpl w:val="22B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75C6"/>
    <w:multiLevelType w:val="hybridMultilevel"/>
    <w:tmpl w:val="F184E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D0686"/>
    <w:multiLevelType w:val="hybridMultilevel"/>
    <w:tmpl w:val="73FE5A90"/>
    <w:lvl w:ilvl="0" w:tplc="B124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1C6F2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38A6"/>
    <w:multiLevelType w:val="hybridMultilevel"/>
    <w:tmpl w:val="DCC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11FC"/>
    <w:multiLevelType w:val="hybridMultilevel"/>
    <w:tmpl w:val="9A342190"/>
    <w:lvl w:ilvl="0" w:tplc="CFF22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600"/>
    <w:multiLevelType w:val="hybridMultilevel"/>
    <w:tmpl w:val="CB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E60F4"/>
    <w:multiLevelType w:val="hybridMultilevel"/>
    <w:tmpl w:val="A5D43718"/>
    <w:lvl w:ilvl="0" w:tplc="F6803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1E7EAC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05F684A"/>
    <w:multiLevelType w:val="hybridMultilevel"/>
    <w:tmpl w:val="0C16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1FC"/>
    <w:multiLevelType w:val="hybridMultilevel"/>
    <w:tmpl w:val="50E6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4D15"/>
    <w:multiLevelType w:val="hybridMultilevel"/>
    <w:tmpl w:val="E72052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FB58D8"/>
    <w:multiLevelType w:val="hybridMultilevel"/>
    <w:tmpl w:val="24EA8C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52FC7"/>
    <w:multiLevelType w:val="hybridMultilevel"/>
    <w:tmpl w:val="3036E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B37FFC"/>
    <w:multiLevelType w:val="multilevel"/>
    <w:tmpl w:val="C1648E2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6" w15:restartNumberingAfterBreak="0">
    <w:nsid w:val="6EAA2EEB"/>
    <w:multiLevelType w:val="hybridMultilevel"/>
    <w:tmpl w:val="460A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73CCC"/>
    <w:multiLevelType w:val="multilevel"/>
    <w:tmpl w:val="DE8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60BF0"/>
    <w:multiLevelType w:val="hybridMultilevel"/>
    <w:tmpl w:val="5E7C399A"/>
    <w:lvl w:ilvl="0" w:tplc="22E2A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3549C"/>
    <w:multiLevelType w:val="hybridMultilevel"/>
    <w:tmpl w:val="D5BC4420"/>
    <w:lvl w:ilvl="0" w:tplc="E312E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9"/>
  </w:num>
  <w:num w:numId="5">
    <w:abstractNumId w:val="15"/>
  </w:num>
  <w:num w:numId="6">
    <w:abstractNumId w:val="7"/>
  </w:num>
  <w:num w:numId="7">
    <w:abstractNumId w:val="10"/>
  </w:num>
  <w:num w:numId="8">
    <w:abstractNumId w:val="17"/>
  </w:num>
  <w:num w:numId="9">
    <w:abstractNumId w:val="2"/>
  </w:num>
  <w:num w:numId="10">
    <w:abstractNumId w:val="11"/>
  </w:num>
  <w:num w:numId="11">
    <w:abstractNumId w:val="1"/>
  </w:num>
  <w:num w:numId="12">
    <w:abstractNumId w:val="18"/>
  </w:num>
  <w:num w:numId="13">
    <w:abstractNumId w:val="13"/>
  </w:num>
  <w:num w:numId="14">
    <w:abstractNumId w:val="12"/>
  </w:num>
  <w:num w:numId="15">
    <w:abstractNumId w:val="14"/>
  </w:num>
  <w:num w:numId="16">
    <w:abstractNumId w:val="19"/>
  </w:num>
  <w:num w:numId="17">
    <w:abstractNumId w:val="0"/>
  </w:num>
  <w:num w:numId="18">
    <w:abstractNumId w:val="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6D"/>
    <w:rsid w:val="0002106F"/>
    <w:rsid w:val="00027CE9"/>
    <w:rsid w:val="000B0C37"/>
    <w:rsid w:val="000E3E32"/>
    <w:rsid w:val="000F4CA3"/>
    <w:rsid w:val="0013105C"/>
    <w:rsid w:val="00182148"/>
    <w:rsid w:val="00210E84"/>
    <w:rsid w:val="00232005"/>
    <w:rsid w:val="002364E6"/>
    <w:rsid w:val="002459A9"/>
    <w:rsid w:val="002A282F"/>
    <w:rsid w:val="002E0656"/>
    <w:rsid w:val="002F75EB"/>
    <w:rsid w:val="00352264"/>
    <w:rsid w:val="00354558"/>
    <w:rsid w:val="00364D2A"/>
    <w:rsid w:val="00382A8D"/>
    <w:rsid w:val="003B1A04"/>
    <w:rsid w:val="00414E08"/>
    <w:rsid w:val="00430303"/>
    <w:rsid w:val="00431BC7"/>
    <w:rsid w:val="0043421C"/>
    <w:rsid w:val="00446511"/>
    <w:rsid w:val="004A1852"/>
    <w:rsid w:val="004E0DB8"/>
    <w:rsid w:val="004F12EF"/>
    <w:rsid w:val="00544B48"/>
    <w:rsid w:val="00594F14"/>
    <w:rsid w:val="005C5CD0"/>
    <w:rsid w:val="005D1898"/>
    <w:rsid w:val="006337E5"/>
    <w:rsid w:val="00664694"/>
    <w:rsid w:val="006735EE"/>
    <w:rsid w:val="006B7FAC"/>
    <w:rsid w:val="006D0B32"/>
    <w:rsid w:val="006D0DDE"/>
    <w:rsid w:val="006D32E8"/>
    <w:rsid w:val="006F5696"/>
    <w:rsid w:val="0070134B"/>
    <w:rsid w:val="007013CF"/>
    <w:rsid w:val="007867D1"/>
    <w:rsid w:val="007B34D7"/>
    <w:rsid w:val="007C4E13"/>
    <w:rsid w:val="007C6456"/>
    <w:rsid w:val="007D28D7"/>
    <w:rsid w:val="007E5279"/>
    <w:rsid w:val="007F2D11"/>
    <w:rsid w:val="008015A1"/>
    <w:rsid w:val="00866D4C"/>
    <w:rsid w:val="009024C7"/>
    <w:rsid w:val="00935429"/>
    <w:rsid w:val="00956E28"/>
    <w:rsid w:val="009C4828"/>
    <w:rsid w:val="009D18F7"/>
    <w:rsid w:val="009F5B55"/>
    <w:rsid w:val="00A00133"/>
    <w:rsid w:val="00A636E4"/>
    <w:rsid w:val="00AE0940"/>
    <w:rsid w:val="00B46C8A"/>
    <w:rsid w:val="00B728AE"/>
    <w:rsid w:val="00BD4143"/>
    <w:rsid w:val="00BD449B"/>
    <w:rsid w:val="00BD6C6F"/>
    <w:rsid w:val="00BE2754"/>
    <w:rsid w:val="00C03EE0"/>
    <w:rsid w:val="00C43413"/>
    <w:rsid w:val="00C70F9D"/>
    <w:rsid w:val="00C76218"/>
    <w:rsid w:val="00C86793"/>
    <w:rsid w:val="00CA44AD"/>
    <w:rsid w:val="00CC5A6D"/>
    <w:rsid w:val="00CD0D00"/>
    <w:rsid w:val="00DE0AA1"/>
    <w:rsid w:val="00DF0833"/>
    <w:rsid w:val="00E11716"/>
    <w:rsid w:val="00E8250B"/>
    <w:rsid w:val="00E93309"/>
    <w:rsid w:val="00EA34BD"/>
    <w:rsid w:val="00EE6592"/>
    <w:rsid w:val="00EF704E"/>
    <w:rsid w:val="00F039AB"/>
    <w:rsid w:val="00F14F54"/>
    <w:rsid w:val="00F165F4"/>
    <w:rsid w:val="00F576D2"/>
    <w:rsid w:val="00F74D6B"/>
    <w:rsid w:val="00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D21A"/>
  <w15:chartTrackingRefBased/>
  <w15:docId w15:val="{71B8DD70-A6C0-6846-AEFD-9CA05EBE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6D"/>
  </w:style>
  <w:style w:type="paragraph" w:styleId="Heading1">
    <w:name w:val="heading 1"/>
    <w:basedOn w:val="Normal"/>
    <w:next w:val="Normal"/>
    <w:link w:val="Heading1Char"/>
    <w:uiPriority w:val="9"/>
    <w:qFormat/>
    <w:rsid w:val="009C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2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D32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2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4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54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cshelp.org/macroeconomics/inflation/causes-inf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bank.com/financialiq/invest-your-money/investment-strategies/effects-of-inflation-on-investm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i/inflation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dingeconomics.com/united-states/inflation-cpi" TargetMode="External"/><Relationship Id="rId10" Type="http://schemas.openxmlformats.org/officeDocument/2006/relationships/hyperlink" Target="https://www.synovus.com/personal/resource-center/financial-newsletters/2021/february/sectors-to-consider-if-inflation-continues-to-r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articles/trading/05/021605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ladytee.mushava@gmail.com</dc:creator>
  <cp:keywords/>
  <dc:description/>
  <cp:lastModifiedBy>ladytee.mushava@gmail.com</cp:lastModifiedBy>
  <cp:revision>29</cp:revision>
  <dcterms:created xsi:type="dcterms:W3CDTF">2021-12-07T23:56:00Z</dcterms:created>
  <dcterms:modified xsi:type="dcterms:W3CDTF">2021-12-18T18:06:00Z</dcterms:modified>
</cp:coreProperties>
</file>