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45" w:rsidRPr="00F64545" w:rsidRDefault="00F64545" w:rsidP="00F645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SECTION00110000000000000000"/>
      <w:bookmarkStart w:id="1" w:name="tex2html72"/>
      <w:bookmarkStart w:id="2" w:name="tex2html70"/>
      <w:bookmarkStart w:id="3" w:name="tex2html64"/>
      <w:bookmarkStart w:id="4" w:name="tex2html73"/>
      <w:bookmarkStart w:id="5" w:name="tex2html71"/>
      <w:bookmarkStart w:id="6" w:name="tex2html65"/>
      <w:r w:rsidRPr="00F645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Entities and Entity Sets</w:t>
      </w:r>
      <w:bookmarkEnd w:id="0"/>
    </w:p>
    <w:p w:rsidR="00F64545" w:rsidRPr="00F64545" w:rsidRDefault="00F64545" w:rsidP="00F64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is an object that exists and is distinguishable from other objects. For instance, John Harris with S.I.N. 890-12-3456 is an entity, as he can be uniquely identified as one particular person in the universe. </w:t>
      </w:r>
    </w:p>
    <w:p w:rsidR="00F64545" w:rsidRPr="00F64545" w:rsidRDefault="00F64545" w:rsidP="00F64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An entity may be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concrete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(a person or a book, for example) or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(like a holiday or a concept). </w:t>
      </w:r>
    </w:p>
    <w:p w:rsidR="00F64545" w:rsidRPr="00F64545" w:rsidRDefault="00F64545" w:rsidP="00F64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entity set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is a set of entities of the same type (e.g., all persons having an account at a bank). </w:t>
      </w:r>
    </w:p>
    <w:p w:rsidR="00F64545" w:rsidRPr="00F64545" w:rsidRDefault="00F64545" w:rsidP="00F64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Entity sets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need not be disjoint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For example, the entity set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employee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(all employees of a bank) and the entity set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(all customers of the bank) may have members in common. </w:t>
      </w:r>
    </w:p>
    <w:p w:rsidR="00F64545" w:rsidRPr="00F64545" w:rsidRDefault="00F64545" w:rsidP="00F64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An entity is represented by a set of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4545" w:rsidRPr="00F64545" w:rsidRDefault="00F64545" w:rsidP="00F645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E.g. name, S.I.N., street, city for ``customer'' entity. </w:t>
      </w:r>
    </w:p>
    <w:p w:rsidR="00F64545" w:rsidRPr="00F64545" w:rsidRDefault="00F64545" w:rsidP="00F645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of the attribute is the set of permitted values (e.g. the telephone number must be seven positive integers). </w:t>
      </w:r>
    </w:p>
    <w:p w:rsidR="00F64545" w:rsidRPr="00F64545" w:rsidRDefault="00F64545" w:rsidP="00F64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Formally, an attribute is a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which maps an entity set into a domain. </w:t>
      </w:r>
    </w:p>
    <w:p w:rsidR="00F64545" w:rsidRPr="00F64545" w:rsidRDefault="00F64545" w:rsidP="00F645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Every entity is described by a set of (attribute, data value) pairs. </w:t>
      </w:r>
    </w:p>
    <w:p w:rsidR="00F64545" w:rsidRPr="00F64545" w:rsidRDefault="00F64545" w:rsidP="00F645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There is one pair for each attribute of the entity set. </w:t>
      </w:r>
    </w:p>
    <w:p w:rsidR="00F64545" w:rsidRPr="00F64545" w:rsidRDefault="00F64545" w:rsidP="00F645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E.g. a particular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entity is described by the set {(name, Harris), (S.I.N., 890-123-456), (street, North), (city, Georgetown)}. </w:t>
      </w:r>
    </w:p>
    <w:p w:rsidR="00F64545" w:rsidRPr="00F64545" w:rsidRDefault="00F64545" w:rsidP="00F6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An analogy can be made with the programming language notion of type definition. </w:t>
      </w:r>
    </w:p>
    <w:p w:rsidR="00F64545" w:rsidRPr="00F64545" w:rsidRDefault="00F64545" w:rsidP="00F645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The concept of an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entity set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corresponds to the programming language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type definition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4545" w:rsidRPr="00F64545" w:rsidRDefault="00F64545" w:rsidP="00F645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A variable of a given type has a particular value at a point in time. </w:t>
      </w:r>
    </w:p>
    <w:p w:rsidR="00F64545" w:rsidRPr="00F64545" w:rsidRDefault="00F64545" w:rsidP="00F645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Thus, a programming language variable corresponds to an </w:t>
      </w:r>
      <w:r w:rsidRPr="00F64545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in the E-R model. </w:t>
      </w:r>
    </w:p>
    <w:p w:rsidR="00F64545" w:rsidRPr="00F64545" w:rsidRDefault="00F64545" w:rsidP="00F6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Figure 2-1 shows two entity sets. </w:t>
      </w:r>
    </w:p>
    <w:p w:rsidR="00F64545" w:rsidRPr="00F64545" w:rsidRDefault="00F64545" w:rsidP="00F6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We will be dealing with five entity sets in this section: </w:t>
      </w:r>
    </w:p>
    <w:p w:rsidR="00F64545" w:rsidRPr="00F64545" w:rsidRDefault="00F64545" w:rsidP="00F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branch</w:t>
      </w:r>
      <w:proofErr w:type="gramEnd"/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the set of all branches of a particular bank. Each branch is described by the attributes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branch-name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branch-city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assets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4545" w:rsidRPr="00F64545" w:rsidRDefault="00F64545" w:rsidP="00F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proofErr w:type="gramEnd"/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the set of all people having an account at the bank. Attributes are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customer-name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S.I.N.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street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customer-city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4545" w:rsidRPr="00F64545" w:rsidRDefault="00F64545" w:rsidP="00F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employee</w:t>
      </w:r>
      <w:proofErr w:type="gramEnd"/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with attributes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employee-name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phone-number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4545" w:rsidRPr="00F64545" w:rsidRDefault="00F64545" w:rsidP="00F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proofErr w:type="gramEnd"/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the set of all accounts created and maintained in the bank. Attributes are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account-number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balance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4545" w:rsidRPr="00F64545" w:rsidRDefault="00F64545" w:rsidP="00F645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proofErr w:type="gramEnd"/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the set of all account transactions executed in the bank. Attributes are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transaction-number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545">
        <w:rPr>
          <w:rFonts w:ascii="Times New Roman" w:eastAsia="Times New Roman" w:hAnsi="Times New Roman" w:cs="Times New Roman"/>
          <w:i/>
          <w:iCs/>
          <w:sz w:val="24"/>
          <w:szCs w:val="24"/>
        </w:rPr>
        <w:t>amount</w:t>
      </w:r>
      <w:r w:rsidRPr="00F64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1"/>
    <w:bookmarkEnd w:id="2"/>
    <w:bookmarkEnd w:id="3"/>
    <w:bookmarkEnd w:id="4"/>
    <w:bookmarkEnd w:id="5"/>
    <w:bookmarkEnd w:id="6"/>
    <w:p w:rsidR="00F91C12" w:rsidRDefault="00F91C12"/>
    <w:p w:rsidR="00160CBB" w:rsidRDefault="00160CBB"/>
    <w:p w:rsidR="00160CBB" w:rsidRDefault="00160CBB"/>
    <w:p w:rsidR="00160CBB" w:rsidRDefault="00160CBB"/>
    <w:p w:rsidR="00160CBB" w:rsidRPr="00160CBB" w:rsidRDefault="00160CBB" w:rsidP="00160C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7" w:name="SECTION00120000000000000000"/>
      <w:r w:rsidRPr="00160C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Relationships &amp; Relationship Sets</w:t>
      </w:r>
      <w:bookmarkEnd w:id="7"/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is an association between several entities.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set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is a set of relationships of the same type.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Formally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it is a mathematical relation on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695" cy="137795"/>
            <wp:effectExtent l="19050" t="0" r="8255" b="0"/>
            <wp:docPr id="12" name="Picture 12" descr="http://www.cs.sfu.ca/CourseCentral/354/zaiane/material/notes/Chapter2/_13288_tex2html_wrap7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sfu.ca/CourseCentral/354/zaiane/material/notes/Chapter2/_13288_tex2html_wrap75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(possibly non-distinct) sets.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1545" cy="137795"/>
            <wp:effectExtent l="19050" t="0" r="1905" b="0"/>
            <wp:docPr id="13" name="Picture 13" descr="http://www.cs.sfu.ca/CourseCentral/354/zaiane/material/notes/Chapter2/_13288_tex2html_wrap7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.sfu.ca/CourseCentral/354/zaiane/material/notes/Chapter2/_13288_tex2html_wrap75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are entity sets, then a relationship set R is a </w:t>
      </w: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subset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0970" cy="163830"/>
            <wp:effectExtent l="0" t="0" r="0" b="0"/>
            <wp:docPr id="14" name="Picture 14" descr="http://www.cs.sfu.ca/CourseCentral/354/zaiane/material/notes/Chapter2/_13288_displaymath7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sfu.ca/CourseCentral/354/zaiane/material/notes/Chapter2/_13288_displaymath75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CB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1545" cy="163830"/>
            <wp:effectExtent l="19050" t="0" r="1905" b="0"/>
            <wp:docPr id="15" name="Picture 15" descr="http://www.cs.sfu.ca/CourseCentral/354/zaiane/material/notes/Chapter2/_13288_tex2html_wrap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sfu.ca/CourseCentral/354/zaiane/material/notes/Chapter2/_13288_tex2html_wrap75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is a relationship.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For example, consider the two entity sets </w:t>
      </w:r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60CBB">
        <w:rPr>
          <w:rFonts w:ascii="Times New Roman" w:eastAsia="Times New Roman" w:hAnsi="Times New Roman" w:cs="Times New Roman"/>
          <w:sz w:val="24"/>
          <w:szCs w:val="24"/>
        </w:rPr>
        <w:t>(Fig. 2.1 in the text).</w:t>
      </w:r>
      <w:proofErr w:type="gramEnd"/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We define the relationship </w:t>
      </w:r>
      <w:proofErr w:type="spellStart"/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CustAcct</w:t>
      </w:r>
      <w:proofErr w:type="spellEnd"/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to denote the association between customers and their accounts. This is a </w:t>
      </w: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relationship set (see Figure 2.2 in the text).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Going back to our formal definition, the relationship set </w:t>
      </w:r>
      <w:proofErr w:type="spellStart"/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CustAcct</w:t>
      </w:r>
      <w:proofErr w:type="spellEnd"/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is a subset of all the possible customer and account pairings.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This is a binary relationship. Occasionally there are relationships involving more than two entity sets.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of an entity is the function it plays in a relationship. For example, the relationship </w:t>
      </w:r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works-for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could be ordered pairs of </w:t>
      </w:r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employee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entities. The first employee takes the role of manager, and the second one will take the role of worker. </w:t>
      </w:r>
    </w:p>
    <w:p w:rsidR="00160CBB" w:rsidRPr="00160CBB" w:rsidRDefault="00160CBB" w:rsidP="0016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A relationship may also have </w:t>
      </w:r>
      <w:r w:rsidRPr="00160CB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attributes. For example, </w:t>
      </w:r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(last date of account access) could be an attribute of the </w:t>
      </w:r>
      <w:proofErr w:type="spellStart"/>
      <w:r w:rsidRPr="00160CBB">
        <w:rPr>
          <w:rFonts w:ascii="Times New Roman" w:eastAsia="Times New Roman" w:hAnsi="Times New Roman" w:cs="Times New Roman"/>
          <w:i/>
          <w:iCs/>
          <w:sz w:val="24"/>
          <w:szCs w:val="24"/>
        </w:rPr>
        <w:t>CustAcct</w:t>
      </w:r>
      <w:proofErr w:type="spellEnd"/>
      <w:r w:rsidRPr="00160CBB">
        <w:rPr>
          <w:rFonts w:ascii="Times New Roman" w:eastAsia="Times New Roman" w:hAnsi="Times New Roman" w:cs="Times New Roman"/>
          <w:sz w:val="24"/>
          <w:szCs w:val="24"/>
        </w:rPr>
        <w:t xml:space="preserve"> relationship set. </w:t>
      </w:r>
    </w:p>
    <w:p w:rsidR="00160CBB" w:rsidRDefault="00160CBB"/>
    <w:p w:rsidR="00160CBB" w:rsidRDefault="00160CBB"/>
    <w:p w:rsidR="00B046EA" w:rsidRDefault="00B046EA"/>
    <w:p w:rsidR="00B046EA" w:rsidRDefault="00B046EA"/>
    <w:p w:rsidR="00B046EA" w:rsidRDefault="00B046EA"/>
    <w:p w:rsidR="00B046EA" w:rsidRDefault="00B046EA"/>
    <w:p w:rsidR="00B046EA" w:rsidRDefault="00B046EA"/>
    <w:p w:rsidR="00B046EA" w:rsidRDefault="00B046EA"/>
    <w:p w:rsidR="00B046EA" w:rsidRDefault="00B046EA"/>
    <w:p w:rsidR="00B046EA" w:rsidRDefault="00B046EA"/>
    <w:p w:rsidR="00B046EA" w:rsidRDefault="00B046EA"/>
    <w:p w:rsidR="00A664D7" w:rsidRPr="00A664D7" w:rsidRDefault="00A664D7" w:rsidP="00A664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8" w:name="SECTION00130000000000000000"/>
      <w:r w:rsidRPr="00A664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Attributes</w:t>
      </w:r>
      <w:bookmarkEnd w:id="8"/>
    </w:p>
    <w:p w:rsidR="00A664D7" w:rsidRPr="00A664D7" w:rsidRDefault="00A664D7" w:rsidP="00A6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It is possible to define a set of entities and the relationships among them in a number of different ways. The main difference is in how we deal with attributes. </w:t>
      </w:r>
    </w:p>
    <w:p w:rsidR="00A664D7" w:rsidRPr="00A664D7" w:rsidRDefault="00A664D7" w:rsidP="00A66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Consider the entity set </w:t>
      </w:r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employee</w:t>
      </w: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employee-name</w:t>
      </w: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phone-number</w:t>
      </w: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64D7" w:rsidRPr="00A664D7" w:rsidRDefault="00A664D7" w:rsidP="00A66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We could argue that the phone be treated as an entity itself, with attributes </w:t>
      </w:r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phone-number</w:t>
      </w: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location</w:t>
      </w: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64D7" w:rsidRPr="00A664D7" w:rsidRDefault="00A664D7" w:rsidP="00A66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Then we have two entity sets, and the relationship set </w:t>
      </w:r>
      <w:proofErr w:type="spellStart"/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EmpPhn</w:t>
      </w:r>
      <w:proofErr w:type="spellEnd"/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 defining the association between employees and their phones. </w:t>
      </w:r>
    </w:p>
    <w:p w:rsidR="00A664D7" w:rsidRPr="00A664D7" w:rsidRDefault="00A664D7" w:rsidP="00A66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This new definition allows employees to have several (or zero) phones. </w:t>
      </w:r>
    </w:p>
    <w:p w:rsidR="00A664D7" w:rsidRPr="00A664D7" w:rsidRDefault="00A664D7" w:rsidP="00A66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New definition may more accurately reflect the real world. </w:t>
      </w:r>
    </w:p>
    <w:p w:rsidR="00A664D7" w:rsidRPr="00A664D7" w:rsidRDefault="00A664D7" w:rsidP="00A66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We cannot extend this argument easily to making </w:t>
      </w:r>
      <w:r w:rsidRPr="00A664D7">
        <w:rPr>
          <w:rFonts w:ascii="Times New Roman" w:eastAsia="Times New Roman" w:hAnsi="Times New Roman" w:cs="Times New Roman"/>
          <w:i/>
          <w:iCs/>
          <w:sz w:val="24"/>
          <w:szCs w:val="24"/>
        </w:rPr>
        <w:t>employee-name</w:t>
      </w: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 an entity. </w:t>
      </w:r>
    </w:p>
    <w:p w:rsidR="00A664D7" w:rsidRPr="00A664D7" w:rsidRDefault="00A664D7" w:rsidP="00A66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The question of what constitutes an entity and what constitutes an attribute depends mainly on the structure of the real world situation being </w:t>
      </w:r>
      <w:proofErr w:type="spellStart"/>
      <w:r w:rsidRPr="00A664D7">
        <w:rPr>
          <w:rFonts w:ascii="Times New Roman" w:eastAsia="Times New Roman" w:hAnsi="Times New Roman" w:cs="Times New Roman"/>
          <w:sz w:val="24"/>
          <w:szCs w:val="24"/>
        </w:rPr>
        <w:t>modeled</w:t>
      </w:r>
      <w:proofErr w:type="spellEnd"/>
      <w:r w:rsidRPr="00A664D7">
        <w:rPr>
          <w:rFonts w:ascii="Times New Roman" w:eastAsia="Times New Roman" w:hAnsi="Times New Roman" w:cs="Times New Roman"/>
          <w:sz w:val="24"/>
          <w:szCs w:val="24"/>
        </w:rPr>
        <w:t xml:space="preserve">, and the semantics associated with the attribute in question. </w:t>
      </w:r>
    </w:p>
    <w:p w:rsidR="00B046EA" w:rsidRDefault="00B046EA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DC6C27" w:rsidRDefault="00DC6C27"/>
    <w:p w:rsidR="009E61A2" w:rsidRPr="009E61A2" w:rsidRDefault="009E61A2" w:rsidP="009E61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9" w:name="SECTION00140000000000000000"/>
      <w:r w:rsidRPr="009E61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Mapping Constraints</w:t>
      </w:r>
      <w:bookmarkEnd w:id="9"/>
    </w:p>
    <w:p w:rsidR="009E61A2" w:rsidRPr="009E61A2" w:rsidRDefault="009E61A2" w:rsidP="009E6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An E-R scheme may define certain constraints to which the contents of a database must conform. </w:t>
      </w:r>
    </w:p>
    <w:p w:rsidR="009E61A2" w:rsidRPr="009E61A2" w:rsidRDefault="009E61A2" w:rsidP="009E61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Mapping Cardinalities: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express the number of entities to which another entity can be associated via a relationship. For binary relationship sets between entity sets A and B, the mapping cardinality must be one of: </w:t>
      </w:r>
    </w:p>
    <w:p w:rsidR="009E61A2" w:rsidRPr="009E61A2" w:rsidRDefault="009E61A2" w:rsidP="009E61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One-to-one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: An entity in A is associated with at most one entity in B, and an entity in B is associated with at most one entity in A. (Figure 2.3) </w:t>
      </w:r>
    </w:p>
    <w:p w:rsidR="009E61A2" w:rsidRPr="009E61A2" w:rsidRDefault="009E61A2" w:rsidP="009E61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: An entity in A is associated with any number in B. An entity in B is associated with at most one entity in A. (Figure 2.4) </w:t>
      </w:r>
    </w:p>
    <w:p w:rsidR="009E61A2" w:rsidRPr="009E61A2" w:rsidRDefault="009E61A2" w:rsidP="009E61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Many-to-one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: An entity in A is associated with at most one entity in B. An entity in B is associated with any number in A. (Figure 2.5) </w:t>
      </w:r>
    </w:p>
    <w:p w:rsidR="009E61A2" w:rsidRPr="009E61A2" w:rsidRDefault="009E61A2" w:rsidP="009E61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: Entities in A and B are associated with any number from each other. (Figure 2.6) </w:t>
      </w:r>
    </w:p>
    <w:p w:rsidR="009E61A2" w:rsidRPr="009E61A2" w:rsidRDefault="009E61A2" w:rsidP="009E61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The appropriate mapping cardinality for a particular relationship set depends on the real world being </w:t>
      </w:r>
      <w:proofErr w:type="spellStart"/>
      <w:r w:rsidRPr="009E61A2">
        <w:rPr>
          <w:rFonts w:ascii="Times New Roman" w:eastAsia="Times New Roman" w:hAnsi="Times New Roman" w:cs="Times New Roman"/>
          <w:sz w:val="24"/>
          <w:szCs w:val="24"/>
        </w:rPr>
        <w:t>modeled</w:t>
      </w:r>
      <w:proofErr w:type="spellEnd"/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. (Think about the </w:t>
      </w:r>
      <w:proofErr w:type="spellStart"/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CustAcct</w:t>
      </w:r>
      <w:proofErr w:type="spellEnd"/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relationship...) </w:t>
      </w:r>
    </w:p>
    <w:p w:rsidR="009E61A2" w:rsidRPr="009E61A2" w:rsidRDefault="009E61A2" w:rsidP="009E61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Existence Dependencies: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if the existence of entity X depends on the existence of entity Y, then X is said to be </w:t>
      </w: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existence dependent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on Y. (Or we say that Y is the </w:t>
      </w: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dominant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entity and X is the </w:t>
      </w:r>
      <w:r w:rsidRPr="009E61A2">
        <w:rPr>
          <w:rFonts w:ascii="Times New Roman" w:eastAsia="Times New Roman" w:hAnsi="Times New Roman" w:cs="Times New Roman"/>
          <w:b/>
          <w:bCs/>
          <w:sz w:val="24"/>
          <w:szCs w:val="24"/>
        </w:rPr>
        <w:t>subordinate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entity.) </w:t>
      </w:r>
    </w:p>
    <w:p w:rsidR="009E61A2" w:rsidRPr="009E61A2" w:rsidRDefault="009E61A2" w:rsidP="009E61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</w:p>
    <w:p w:rsidR="009E61A2" w:rsidRPr="009E61A2" w:rsidRDefault="009E61A2" w:rsidP="009E6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entity sets, and a relationship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log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between them. </w:t>
      </w:r>
    </w:p>
    <w:p w:rsidR="009E61A2" w:rsidRPr="009E61A2" w:rsidRDefault="009E61A2" w:rsidP="009E6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This is one-to-many from account to transaction. </w:t>
      </w:r>
    </w:p>
    <w:p w:rsidR="009E61A2" w:rsidRPr="009E61A2" w:rsidRDefault="009E61A2" w:rsidP="009E6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If an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entity is deleted, its associated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entities must also be deleted. </w:t>
      </w:r>
    </w:p>
    <w:p w:rsidR="009E61A2" w:rsidRPr="009E61A2" w:rsidRDefault="009E61A2" w:rsidP="009E61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is dominant and </w:t>
      </w:r>
      <w:r w:rsidRPr="009E61A2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9E61A2">
        <w:rPr>
          <w:rFonts w:ascii="Times New Roman" w:eastAsia="Times New Roman" w:hAnsi="Times New Roman" w:cs="Times New Roman"/>
          <w:sz w:val="24"/>
          <w:szCs w:val="24"/>
        </w:rPr>
        <w:t xml:space="preserve"> is subordinate. </w:t>
      </w:r>
    </w:p>
    <w:p w:rsidR="00DC6C27" w:rsidRDefault="00DC6C27"/>
    <w:p w:rsidR="00A20FC6" w:rsidRDefault="00A20FC6"/>
    <w:p w:rsidR="00A20FC6" w:rsidRDefault="00A20FC6"/>
    <w:p w:rsidR="00A20FC6" w:rsidRDefault="00A20FC6"/>
    <w:p w:rsidR="00A20FC6" w:rsidRDefault="00A20FC6"/>
    <w:p w:rsidR="00A20FC6" w:rsidRDefault="00A20FC6"/>
    <w:p w:rsidR="00A20FC6" w:rsidRDefault="00A20FC6"/>
    <w:p w:rsidR="00A20FC6" w:rsidRDefault="00A20FC6"/>
    <w:p w:rsidR="00A20FC6" w:rsidRDefault="00A20FC6"/>
    <w:p w:rsidR="00A20FC6" w:rsidRDefault="00A20FC6"/>
    <w:p w:rsidR="00A20FC6" w:rsidRPr="00A20FC6" w:rsidRDefault="00A20FC6" w:rsidP="00A20F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0" w:name="SECTION00150000000000000000"/>
      <w:r w:rsidRPr="00A20F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Keys</w:t>
      </w:r>
      <w:bookmarkEnd w:id="10"/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Differences between entities must be expressed in terms of attributes. </w:t>
      </w:r>
    </w:p>
    <w:p w:rsidR="00A20FC6" w:rsidRPr="00A20FC6" w:rsidRDefault="00A20FC6" w:rsidP="00A20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superkey</w:t>
      </w:r>
      <w:proofErr w:type="spell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a set of one or more attributes </w:t>
      </w:r>
      <w:proofErr w:type="gramStart"/>
      <w:r w:rsidRPr="00A20FC6">
        <w:rPr>
          <w:rFonts w:ascii="Times New Roman" w:eastAsia="Times New Roman" w:hAnsi="Times New Roman" w:cs="Times New Roman"/>
          <w:sz w:val="24"/>
          <w:szCs w:val="24"/>
        </w:rPr>
        <w:t>which,</w:t>
      </w:r>
      <w:proofErr w:type="gram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taken collectively, allow us to identify uniquely an entity in the entity set. </w:t>
      </w:r>
    </w:p>
    <w:p w:rsidR="00A20FC6" w:rsidRPr="00A20FC6" w:rsidRDefault="00A20FC6" w:rsidP="00A20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For example, in the entity set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customer-name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S.I.N.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A20FC6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customer-name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alone is not, as two customers could have the same name. </w:t>
      </w:r>
    </w:p>
    <w:p w:rsidR="00A20FC6" w:rsidRPr="00A20FC6" w:rsidRDefault="00A20FC6" w:rsidP="00A20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A20FC6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may contain extraneous attributes, and we are often interested in the smallest </w:t>
      </w:r>
      <w:proofErr w:type="spellStart"/>
      <w:r w:rsidRPr="00A20FC6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A20FC6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for which no subset is a </w:t>
      </w:r>
      <w:proofErr w:type="spellStart"/>
      <w:r w:rsidRPr="00A20FC6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called a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In the example above,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S.I.N.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a candidate key, as it is minimal, and uniquely identifies a customer entity. </w:t>
      </w:r>
    </w:p>
    <w:p w:rsidR="00A20FC6" w:rsidRPr="00A20FC6" w:rsidRDefault="00A20FC6" w:rsidP="00A20F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a candidate key (there may be more than one) chosen by the DB designer to identify entities in an entity set. </w:t>
      </w:r>
    </w:p>
    <w:p w:rsidR="00A20FC6" w:rsidRPr="00A20FC6" w:rsidRDefault="00A20FC6" w:rsidP="00A2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An entity set that does not possess sufficient attributes to form a primary key is called a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weak entity set.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One that does have a primary key is called a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strong entity set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</w:p>
    <w:p w:rsidR="00A20FC6" w:rsidRPr="00A20FC6" w:rsidRDefault="00A20FC6" w:rsidP="00A20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The entity set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has attributes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transaction-number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amount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Different transactions on different accounts could share the same number. </w:t>
      </w:r>
    </w:p>
    <w:p w:rsidR="00A20FC6" w:rsidRPr="00A20FC6" w:rsidRDefault="00A20FC6" w:rsidP="00A20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These are not sufficient to form a primary key (uniquely identify a transaction). </w:t>
      </w:r>
    </w:p>
    <w:p w:rsidR="00A20FC6" w:rsidRPr="00A20FC6" w:rsidRDefault="00A20FC6" w:rsidP="00A20F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a weak entity set.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For a weak entity set to be meaningful, it must be part of a one-to-many relationship set. This relationship set should have no descriptive attributes. (Why?)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The idea of strong and weak entity sets is related to the existence dependencies seen earlier. </w:t>
      </w:r>
    </w:p>
    <w:p w:rsidR="00A20FC6" w:rsidRPr="00A20FC6" w:rsidRDefault="00A20FC6" w:rsidP="00A20F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Member of a strong entity set is a dominant entity. </w:t>
      </w:r>
    </w:p>
    <w:p w:rsidR="00A20FC6" w:rsidRPr="00A20FC6" w:rsidRDefault="00A20FC6" w:rsidP="00A20F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Member of a weak entity set is a subordinate entity.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A weak entity set does not have a primary key, but we need a means of distinguishing among the entities.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discriminator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of a weak entity set is a set of attributes that allows this distinction to be made.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 of a weak entity set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formed by taking the primary key of the strong entity set on which its existence depends (see Mapping Constraints) plus its </w:t>
      </w: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discriminator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To illustrate: </w:t>
      </w:r>
    </w:p>
    <w:p w:rsidR="00A20FC6" w:rsidRPr="00A20FC6" w:rsidRDefault="00A20FC6" w:rsidP="00A20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proofErr w:type="gram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a weak entity. It is existence-dependent on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The primary key of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account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account-number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transaction-number</w:t>
      </w:r>
      <w:proofErr w:type="gramEnd"/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distinguishes transaction entities within the same account (and is thus the discriminator). </w:t>
      </w:r>
    </w:p>
    <w:p w:rsidR="00A20FC6" w:rsidRPr="00A20FC6" w:rsidRDefault="00A20FC6" w:rsidP="00A20F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So the primary key for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would be </w:t>
      </w:r>
      <w:r w:rsidRPr="00A20FC6">
        <w:rPr>
          <w:rFonts w:ascii="Times New Roman" w:eastAsia="Times New Roman" w:hAnsi="Times New Roman" w:cs="Times New Roman"/>
          <w:i/>
          <w:iCs/>
          <w:sz w:val="24"/>
          <w:szCs w:val="24"/>
        </w:rPr>
        <w:t>(account-number, transaction-number)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FC6" w:rsidRPr="00A20FC6" w:rsidRDefault="00A20FC6" w:rsidP="00A2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FC6">
        <w:rPr>
          <w:rFonts w:ascii="Times New Roman" w:eastAsia="Times New Roman" w:hAnsi="Times New Roman" w:cs="Times New Roman"/>
          <w:b/>
          <w:bCs/>
          <w:sz w:val="24"/>
          <w:szCs w:val="24"/>
        </w:rPr>
        <w:t>Just Remember:</w:t>
      </w:r>
      <w:r w:rsidRPr="00A20FC6">
        <w:rPr>
          <w:rFonts w:ascii="Times New Roman" w:eastAsia="Times New Roman" w:hAnsi="Times New Roman" w:cs="Times New Roman"/>
          <w:sz w:val="24"/>
          <w:szCs w:val="24"/>
        </w:rPr>
        <w:t xml:space="preserve"> The primary key of a weak entity is found by taking the primary key of the strong entity on which it is existence-dependent, plus the discriminator of the weak entity set. </w:t>
      </w:r>
    </w:p>
    <w:p w:rsidR="00A20FC6" w:rsidRDefault="00A20FC6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C748D1" w:rsidRDefault="00C748D1"/>
    <w:p w:rsidR="00395A0B" w:rsidRDefault="00395A0B" w:rsidP="00395A0B">
      <w:pPr>
        <w:pStyle w:val="NormalWeb"/>
      </w:pPr>
    </w:p>
    <w:p w:rsidR="00395A0B" w:rsidRDefault="007610F6" w:rsidP="00395A0B">
      <w:r>
        <w:pict>
          <v:rect id="_x0000_i1025" style="width:0;height:1.5pt" o:hralign="center" o:hrstd="t" o:hr="t" fillcolor="#a0a0a0" stroked="f"/>
        </w:pict>
      </w:r>
    </w:p>
    <w:p w:rsidR="00395A0B" w:rsidRDefault="00395A0B" w:rsidP="00395A0B">
      <w:bookmarkStart w:id="11" w:name="tex2html122"/>
      <w:r>
        <w:rPr>
          <w:noProof/>
          <w:color w:val="0000FF"/>
        </w:rPr>
        <w:drawing>
          <wp:inline distT="0" distB="0" distL="0" distR="0">
            <wp:extent cx="353695" cy="224155"/>
            <wp:effectExtent l="19050" t="0" r="8255" b="0"/>
            <wp:docPr id="2" name="Picture 2" descr="nex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x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tex2html120"/>
      <w:bookmarkEnd w:id="11"/>
      <w:r>
        <w:rPr>
          <w:noProof/>
          <w:color w:val="0000FF"/>
        </w:rPr>
        <w:drawing>
          <wp:inline distT="0" distB="0" distL="0" distR="0">
            <wp:extent cx="250190" cy="224155"/>
            <wp:effectExtent l="19050" t="0" r="0" b="0"/>
            <wp:docPr id="3" name="Picture 3" descr="u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tex2html114"/>
      <w:bookmarkEnd w:id="12"/>
      <w:r>
        <w:rPr>
          <w:noProof/>
          <w:color w:val="0000FF"/>
        </w:rPr>
        <w:drawing>
          <wp:inline distT="0" distB="0" distL="0" distR="0">
            <wp:extent cx="603885" cy="224155"/>
            <wp:effectExtent l="19050" t="0" r="5715" b="0"/>
            <wp:docPr id="4" name="Picture 4" descr="previou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ou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  <w:r>
        <w:br/>
      </w:r>
      <w:r>
        <w:rPr>
          <w:b/>
          <w:bCs/>
        </w:rPr>
        <w:t>Next:</w:t>
      </w:r>
      <w:r>
        <w:t xml:space="preserve"> </w:t>
      </w:r>
      <w:bookmarkStart w:id="14" w:name="tex2html123"/>
      <w:r w:rsidR="007610F6">
        <w:fldChar w:fldCharType="begin"/>
      </w:r>
      <w:r>
        <w:instrText xml:space="preserve"> HYPERLINK "http://www.cs.sfu.ca/CourseCentral/354/zaiane/material/notes/Chapter2/node8.html" </w:instrText>
      </w:r>
      <w:r w:rsidR="007610F6">
        <w:fldChar w:fldCharType="separate"/>
      </w:r>
      <w:r>
        <w:rPr>
          <w:rStyle w:val="Hyperlink"/>
        </w:rPr>
        <w:t xml:space="preserve">The Entity Relationship </w:t>
      </w:r>
      <w:r w:rsidR="007610F6">
        <w:fldChar w:fldCharType="end"/>
      </w:r>
      <w:bookmarkEnd w:id="14"/>
      <w:r>
        <w:rPr>
          <w:b/>
          <w:bCs/>
        </w:rPr>
        <w:t>Up:</w:t>
      </w:r>
      <w:r>
        <w:t xml:space="preserve"> </w:t>
      </w:r>
      <w:bookmarkStart w:id="15" w:name="tex2html121"/>
      <w:r w:rsidR="007610F6">
        <w:fldChar w:fldCharType="begin"/>
      </w:r>
      <w:r>
        <w:instrText xml:space="preserve"> HYPERLINK "http://www.cs.sfu.ca/CourseCentral/354/zaiane/material/notes/Chapter2/node1.html" </w:instrText>
      </w:r>
      <w:r w:rsidR="007610F6">
        <w:fldChar w:fldCharType="separate"/>
      </w:r>
      <w:r>
        <w:rPr>
          <w:rStyle w:val="Hyperlink"/>
        </w:rPr>
        <w:t>The Entity-Relationship Model</w:t>
      </w:r>
      <w:r w:rsidR="007610F6">
        <w:fldChar w:fldCharType="end"/>
      </w:r>
      <w:bookmarkEnd w:id="15"/>
      <w:r>
        <w:t xml:space="preserve"> </w:t>
      </w:r>
      <w:r>
        <w:rPr>
          <w:b/>
          <w:bCs/>
        </w:rPr>
        <w:t>Previous:</w:t>
      </w:r>
      <w:r>
        <w:t xml:space="preserve"> </w:t>
      </w:r>
      <w:bookmarkStart w:id="16" w:name="tex2html115"/>
      <w:r w:rsidR="007610F6">
        <w:fldChar w:fldCharType="begin"/>
      </w:r>
      <w:r>
        <w:instrText xml:space="preserve"> HYPERLINK "http://www.cs.sfu.ca/CourseCentral/354/zaiane/material/notes/Chapter2/node6.html" </w:instrText>
      </w:r>
      <w:r w:rsidR="007610F6">
        <w:fldChar w:fldCharType="separate"/>
      </w:r>
      <w:r>
        <w:rPr>
          <w:rStyle w:val="Hyperlink"/>
        </w:rPr>
        <w:t>Keys</w:t>
      </w:r>
      <w:r w:rsidR="007610F6">
        <w:fldChar w:fldCharType="end"/>
      </w:r>
      <w:bookmarkEnd w:id="16"/>
      <w:r>
        <w:t xml:space="preserve"> </w:t>
      </w:r>
    </w:p>
    <w:p w:rsidR="00395A0B" w:rsidRDefault="007610F6" w:rsidP="00395A0B">
      <w:r>
        <w:pict>
          <v:rect id="_x0000_i1026" style="width:0;height:1.5pt" o:hralign="center" o:hrstd="t" o:hr="t" fillcolor="#a0a0a0" stroked="f"/>
        </w:pict>
      </w:r>
    </w:p>
    <w:p w:rsidR="00395A0B" w:rsidRDefault="00395A0B" w:rsidP="00395A0B">
      <w:pPr>
        <w:pStyle w:val="Heading1"/>
      </w:pPr>
      <w:bookmarkStart w:id="17" w:name="SECTION00160000000000000000"/>
      <w:r>
        <w:t>Primary Keys for Relationship Sets</w:t>
      </w:r>
      <w:bookmarkEnd w:id="17"/>
    </w:p>
    <w:p w:rsidR="00395A0B" w:rsidRDefault="00395A0B" w:rsidP="00395A0B">
      <w:pPr>
        <w:pStyle w:val="NormalWeb"/>
      </w:pPr>
      <w:r>
        <w:t xml:space="preserve">The attributes of a relationship set are the attributes that comprise the primary keys of the entity sets involved in the relationship set. </w:t>
      </w:r>
    </w:p>
    <w:p w:rsidR="00395A0B" w:rsidRDefault="00395A0B" w:rsidP="00395A0B">
      <w:pPr>
        <w:pStyle w:val="NormalWeb"/>
      </w:pPr>
      <w:r>
        <w:t xml:space="preserve">For example: </w:t>
      </w:r>
    </w:p>
    <w:p w:rsidR="00395A0B" w:rsidRDefault="00395A0B" w:rsidP="00395A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Emphasis"/>
        </w:rPr>
        <w:t>S.I.N.</w:t>
      </w:r>
      <w:r>
        <w:t xml:space="preserve"> is the primary key of </w:t>
      </w:r>
      <w:r>
        <w:rPr>
          <w:rStyle w:val="Emphasis"/>
        </w:rPr>
        <w:t>customer</w:t>
      </w:r>
      <w:r>
        <w:t xml:space="preserve">, and </w:t>
      </w:r>
    </w:p>
    <w:p w:rsidR="00395A0B" w:rsidRDefault="00395A0B" w:rsidP="00395A0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Emphasis"/>
        </w:rPr>
        <w:t>account-number</w:t>
      </w:r>
      <w:proofErr w:type="gramEnd"/>
      <w:r>
        <w:t xml:space="preserve"> is the primary key of </w:t>
      </w:r>
      <w:r>
        <w:rPr>
          <w:rStyle w:val="Emphasis"/>
        </w:rPr>
        <w:t>account</w:t>
      </w:r>
      <w:r>
        <w:t xml:space="preserve">. </w:t>
      </w:r>
    </w:p>
    <w:p w:rsidR="00395A0B" w:rsidRDefault="00395A0B" w:rsidP="00395A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attributes of the relationship set </w:t>
      </w:r>
      <w:proofErr w:type="spellStart"/>
      <w:r>
        <w:rPr>
          <w:rStyle w:val="Emphasis"/>
        </w:rPr>
        <w:t>custacct</w:t>
      </w:r>
      <w:proofErr w:type="spellEnd"/>
      <w:r>
        <w:t xml:space="preserve"> are then </w:t>
      </w:r>
      <w:r>
        <w:rPr>
          <w:rStyle w:val="Emphasis"/>
        </w:rPr>
        <w:t>(account-number, S.I.N.)</w:t>
      </w:r>
      <w:r>
        <w:t xml:space="preserve">. </w:t>
      </w:r>
    </w:p>
    <w:p w:rsidR="00395A0B" w:rsidRDefault="00395A0B" w:rsidP="00395A0B">
      <w:pPr>
        <w:pStyle w:val="NormalWeb"/>
      </w:pPr>
      <w:r>
        <w:t xml:space="preserve">This is enough information to enable us to relate an account to a person. </w:t>
      </w:r>
    </w:p>
    <w:p w:rsidR="00395A0B" w:rsidRDefault="00395A0B" w:rsidP="00395A0B">
      <w:pPr>
        <w:pStyle w:val="NormalWeb"/>
      </w:pPr>
      <w:r>
        <w:t xml:space="preserve">If the relationship has descriptive attributes, those are also included in its attribute set. For example, we might add the attribute </w:t>
      </w:r>
      <w:r>
        <w:rPr>
          <w:rStyle w:val="Emphasis"/>
        </w:rPr>
        <w:t>date</w:t>
      </w:r>
      <w:r>
        <w:t xml:space="preserve"> to the above relationship set, signifying the date of last access to an account by a particular customer. </w:t>
      </w:r>
    </w:p>
    <w:p w:rsidR="00395A0B" w:rsidRDefault="00395A0B" w:rsidP="00395A0B">
      <w:pPr>
        <w:pStyle w:val="NormalWeb"/>
      </w:pPr>
      <w:r>
        <w:t xml:space="preserve">Note that this attribute cannot instead be placed in either entity set as it relates to both a customer and an account, and the relationship is many-to-many. </w:t>
      </w:r>
    </w:p>
    <w:p w:rsidR="00395A0B" w:rsidRDefault="00395A0B" w:rsidP="00395A0B">
      <w:pPr>
        <w:pStyle w:val="NormalWeb"/>
      </w:pPr>
      <w:r>
        <w:t xml:space="preserve">The primary key of a relationship set </w:t>
      </w:r>
      <w:r>
        <w:rPr>
          <w:noProof/>
        </w:rPr>
        <w:drawing>
          <wp:inline distT="0" distB="0" distL="0" distR="0">
            <wp:extent cx="103505" cy="112395"/>
            <wp:effectExtent l="19050" t="0" r="0" b="0"/>
            <wp:docPr id="6" name="Picture 6" descr="http://www.cs.sfu.ca/CourseCentral/354/zaiane/material/notes/Chapter2/_13288_tex2html_wrap7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sfu.ca/CourseCentral/354/zaiane/material/notes/Chapter2/_13288_tex2html_wrap75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depends on the mapping cardinality and the presence of descriptive attributes. </w:t>
      </w:r>
    </w:p>
    <w:p w:rsidR="00395A0B" w:rsidRDefault="00395A0B" w:rsidP="00395A0B">
      <w:pPr>
        <w:pStyle w:val="NormalWeb"/>
      </w:pPr>
      <w:r>
        <w:t xml:space="preserve">With no descriptive attributes: </w:t>
      </w:r>
    </w:p>
    <w:p w:rsidR="00395A0B" w:rsidRDefault="00395A0B" w:rsidP="00395A0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many-to-many</w:t>
      </w:r>
      <w:proofErr w:type="gramEnd"/>
      <w:r>
        <w:rPr>
          <w:b/>
          <w:bCs/>
        </w:rPr>
        <w:t>:</w:t>
      </w:r>
      <w:r>
        <w:t xml:space="preserve"> all attributes in </w:t>
      </w:r>
      <w:r>
        <w:rPr>
          <w:noProof/>
        </w:rPr>
        <w:drawing>
          <wp:inline distT="0" distB="0" distL="0" distR="0">
            <wp:extent cx="103505" cy="112395"/>
            <wp:effectExtent l="19050" t="0" r="0" b="0"/>
            <wp:docPr id="7" name="Picture 7" descr="http://www.cs.sfu.ca/CourseCentral/354/zaiane/material/notes/Chapter2/_13288_tex2html_wrap7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sfu.ca/CourseCentral/354/zaiane/material/notes/Chapter2/_13288_tex2html_wrap75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395A0B" w:rsidRDefault="00395A0B" w:rsidP="00395A0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one-to-many</w:t>
      </w:r>
      <w:proofErr w:type="gramEnd"/>
      <w:r>
        <w:rPr>
          <w:b/>
          <w:bCs/>
        </w:rPr>
        <w:t>:</w:t>
      </w:r>
      <w:r>
        <w:t xml:space="preserve"> primary key for the ``many'' entity. </w:t>
      </w:r>
    </w:p>
    <w:p w:rsidR="00395A0B" w:rsidRDefault="00395A0B" w:rsidP="00395A0B">
      <w:pPr>
        <w:pStyle w:val="NormalWeb"/>
      </w:pPr>
      <w:r>
        <w:t xml:space="preserve">Descriptive attributes may be added, depending on the mapping cardinality and the semantics involved (see text). </w:t>
      </w:r>
    </w:p>
    <w:p w:rsidR="00C748D1" w:rsidRDefault="00C748D1"/>
    <w:p w:rsidR="00C748D1" w:rsidRDefault="00C748D1"/>
    <w:p w:rsidR="007B4544" w:rsidRDefault="007B4544"/>
    <w:p w:rsidR="007B4544" w:rsidRDefault="007B4544"/>
    <w:p w:rsidR="005E6DBD" w:rsidRDefault="005E6DBD" w:rsidP="005E6DBD">
      <w:pPr>
        <w:pStyle w:val="Heading1"/>
      </w:pPr>
      <w:bookmarkStart w:id="18" w:name="SECTION00170000000000000000"/>
      <w:r>
        <w:lastRenderedPageBreak/>
        <w:t>The Entity Relationship Diagram</w:t>
      </w:r>
      <w:bookmarkEnd w:id="18"/>
    </w:p>
    <w:p w:rsidR="005E6DBD" w:rsidRDefault="005E6DBD" w:rsidP="005E6DBD">
      <w:pPr>
        <w:pStyle w:val="NormalWeb"/>
      </w:pPr>
      <w:r>
        <w:t xml:space="preserve">We can express the overall logical structure of a database </w:t>
      </w:r>
      <w:r>
        <w:rPr>
          <w:b/>
          <w:bCs/>
        </w:rPr>
        <w:t>graphically</w:t>
      </w:r>
      <w:r>
        <w:t xml:space="preserve"> with an E-R diagram. </w:t>
      </w:r>
    </w:p>
    <w:p w:rsidR="005E6DBD" w:rsidRDefault="005E6DBD" w:rsidP="005E6DBD">
      <w:pPr>
        <w:pStyle w:val="NormalWeb"/>
      </w:pPr>
      <w:r>
        <w:t xml:space="preserve">Its components are: </w:t>
      </w:r>
    </w:p>
    <w:p w:rsidR="005E6DBD" w:rsidRDefault="005E6DBD" w:rsidP="005E6DB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rectangles</w:t>
      </w:r>
      <w:proofErr w:type="gramEnd"/>
      <w:r>
        <w:t xml:space="preserve"> representing entity sets. </w:t>
      </w:r>
    </w:p>
    <w:p w:rsidR="005E6DBD" w:rsidRDefault="005E6DBD" w:rsidP="005E6DB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ellipses</w:t>
      </w:r>
      <w:proofErr w:type="gramEnd"/>
      <w:r>
        <w:t xml:space="preserve"> representing attributes. </w:t>
      </w:r>
    </w:p>
    <w:p w:rsidR="005E6DBD" w:rsidRDefault="005E6DBD" w:rsidP="005E6DB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diamonds</w:t>
      </w:r>
      <w:proofErr w:type="gramEnd"/>
      <w:r>
        <w:t xml:space="preserve"> representing relationship sets. </w:t>
      </w:r>
    </w:p>
    <w:p w:rsidR="005E6DBD" w:rsidRDefault="005E6DBD" w:rsidP="005E6DB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lines</w:t>
      </w:r>
      <w:proofErr w:type="gramEnd"/>
      <w:r>
        <w:t xml:space="preserve"> linking attributes to entity sets and entity sets to relationship sets. </w:t>
      </w:r>
    </w:p>
    <w:p w:rsidR="005E6DBD" w:rsidRDefault="005E6DBD" w:rsidP="005E6DBD">
      <w:pPr>
        <w:spacing w:after="0"/>
      </w:pPr>
      <w:r>
        <w:t xml:space="preserve">In the text, lines may be directed (have an arrow on the end) to signify mapping cardinalities for relationship sets. Figures </w:t>
      </w:r>
      <w:hyperlink r:id="rId16" w:anchor="fig281n" w:history="1">
        <w:r>
          <w:rPr>
            <w:rStyle w:val="Hyperlink"/>
          </w:rPr>
          <w:t>2.8</w:t>
        </w:r>
      </w:hyperlink>
      <w:r>
        <w:t xml:space="preserve"> to </w:t>
      </w:r>
      <w:hyperlink r:id="rId17" w:anchor="fig2911" w:history="1">
        <w:r>
          <w:rPr>
            <w:rStyle w:val="Hyperlink"/>
          </w:rPr>
          <w:t>2.10</w:t>
        </w:r>
      </w:hyperlink>
      <w:r>
        <w:t xml:space="preserve"> show some examples. </w:t>
      </w:r>
    </w:p>
    <w:p w:rsidR="005E6DBD" w:rsidRDefault="005E6DBD" w:rsidP="005E6DBD">
      <w:pPr>
        <w:pStyle w:val="NormalWeb"/>
      </w:pPr>
      <w:bookmarkStart w:id="19" w:name="228"/>
      <w:r>
        <w:t> </w:t>
      </w:r>
      <w:bookmarkStart w:id="20" w:name="fig27ER"/>
      <w:bookmarkEnd w:id="19"/>
      <w:r>
        <w:t> </w:t>
      </w:r>
      <w:bookmarkEnd w:id="20"/>
      <w:r>
        <w:rPr>
          <w:noProof/>
        </w:rPr>
        <w:drawing>
          <wp:inline distT="0" distB="0" distL="0" distR="0">
            <wp:extent cx="3605530" cy="1207770"/>
            <wp:effectExtent l="19050" t="0" r="0" b="0"/>
            <wp:docPr id="63" name="Picture 63" descr="http://www.cs.sfu.ca/CourseCentral/354/zaiane/material/notes/Chapter2/_13288_figur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s.sfu.ca/CourseCentral/354/zaiane/material/notes/Chapter2/_13288_figure225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2.7:</w:t>
      </w:r>
      <w:r>
        <w:t xml:space="preserve"> An E-R diagram</w:t>
      </w:r>
    </w:p>
    <w:p w:rsidR="005E6DBD" w:rsidRDefault="005E6DBD" w:rsidP="005E6DBD">
      <w:pPr>
        <w:pStyle w:val="NormalWeb"/>
      </w:pPr>
      <w:bookmarkStart w:id="21" w:name="460"/>
      <w:r>
        <w:t> </w:t>
      </w:r>
      <w:bookmarkStart w:id="22" w:name="fig281n"/>
      <w:bookmarkEnd w:id="21"/>
      <w:r>
        <w:t> </w:t>
      </w:r>
      <w:bookmarkEnd w:id="22"/>
      <w:r>
        <w:rPr>
          <w:noProof/>
        </w:rPr>
        <w:drawing>
          <wp:inline distT="0" distB="0" distL="0" distR="0">
            <wp:extent cx="3605530" cy="1207770"/>
            <wp:effectExtent l="19050" t="0" r="0" b="0"/>
            <wp:docPr id="64" name="Picture 64" descr="http://www.cs.sfu.ca/CourseCentral/354/zaiane/material/notes/Chapter2/_13288_figure2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s.sfu.ca/CourseCentral/354/zaiane/material/notes/Chapter2/_13288_figure231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2.8:</w:t>
      </w:r>
      <w:r>
        <w:t xml:space="preserve"> One-to-many from </w:t>
      </w:r>
      <w:r>
        <w:rPr>
          <w:rStyle w:val="Emphasis"/>
        </w:rPr>
        <w:t>customer</w:t>
      </w:r>
      <w:r>
        <w:t xml:space="preserve"> to </w:t>
      </w:r>
      <w:r>
        <w:rPr>
          <w:rStyle w:val="Emphasis"/>
        </w:rPr>
        <w:t>account</w:t>
      </w:r>
    </w:p>
    <w:p w:rsidR="005E6DBD" w:rsidRDefault="005E6DBD" w:rsidP="005E6DBD">
      <w:pPr>
        <w:pStyle w:val="NormalWeb"/>
      </w:pPr>
      <w:bookmarkStart w:id="23" w:name="461"/>
      <w:r>
        <w:t> </w:t>
      </w:r>
      <w:bookmarkStart w:id="24" w:name="fig28n1"/>
      <w:bookmarkEnd w:id="23"/>
      <w:r>
        <w:t> </w:t>
      </w:r>
      <w:bookmarkEnd w:id="24"/>
      <w:r>
        <w:rPr>
          <w:noProof/>
        </w:rPr>
        <w:drawing>
          <wp:inline distT="0" distB="0" distL="0" distR="0">
            <wp:extent cx="3605530" cy="1207770"/>
            <wp:effectExtent l="19050" t="0" r="0" b="0"/>
            <wp:docPr id="65" name="Picture 65" descr="http://www.cs.sfu.ca/CourseCentral/354/zaiane/material/notes/Chapter2/_13288_figure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s.sfu.ca/CourseCentral/354/zaiane/material/notes/Chapter2/_13288_figure238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2.9:</w:t>
      </w:r>
      <w:r>
        <w:t xml:space="preserve"> Many-to-one from </w:t>
      </w:r>
      <w:r>
        <w:rPr>
          <w:rStyle w:val="Emphasis"/>
        </w:rPr>
        <w:t>customer</w:t>
      </w:r>
      <w:r>
        <w:t xml:space="preserve"> to </w:t>
      </w:r>
      <w:r>
        <w:rPr>
          <w:rStyle w:val="Emphasis"/>
        </w:rPr>
        <w:t>account</w:t>
      </w:r>
    </w:p>
    <w:p w:rsidR="005E6DBD" w:rsidRDefault="005E6DBD" w:rsidP="005E6DBD">
      <w:pPr>
        <w:pStyle w:val="NormalWeb"/>
      </w:pPr>
      <w:bookmarkStart w:id="25" w:name="462"/>
      <w:r>
        <w:t> </w:t>
      </w:r>
      <w:bookmarkStart w:id="26" w:name="fig2911"/>
      <w:bookmarkEnd w:id="25"/>
      <w:r>
        <w:t> </w:t>
      </w:r>
      <w:bookmarkEnd w:id="26"/>
      <w:r>
        <w:rPr>
          <w:noProof/>
        </w:rPr>
        <w:drawing>
          <wp:inline distT="0" distB="0" distL="0" distR="0">
            <wp:extent cx="3605530" cy="1207770"/>
            <wp:effectExtent l="19050" t="0" r="0" b="0"/>
            <wp:docPr id="66" name="Picture 66" descr="http://www.cs.sfu.ca/CourseCentral/354/zaiane/material/notes/Chapter2/_13288_figure2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s.sfu.ca/CourseCentral/354/zaiane/material/notes/Chapter2/_13288_figure245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2.10:</w:t>
      </w:r>
      <w:r>
        <w:t xml:space="preserve"> One-to-one from </w:t>
      </w:r>
      <w:r>
        <w:rPr>
          <w:rStyle w:val="Emphasis"/>
        </w:rPr>
        <w:t>customer</w:t>
      </w:r>
      <w:r>
        <w:t xml:space="preserve"> to </w:t>
      </w:r>
      <w:r>
        <w:rPr>
          <w:rStyle w:val="Emphasis"/>
        </w:rPr>
        <w:t>account</w:t>
      </w:r>
    </w:p>
    <w:p w:rsidR="00D90CC5" w:rsidRDefault="00D90CC5" w:rsidP="00D90CC5"/>
    <w:p w:rsidR="00D90CC5" w:rsidRDefault="00D90CC5" w:rsidP="00D90CC5">
      <w:pPr>
        <w:pStyle w:val="Heading1"/>
      </w:pPr>
      <w:bookmarkStart w:id="27" w:name="SECTION001100000000000000000"/>
      <w:r>
        <w:t>Generalization</w:t>
      </w:r>
      <w:bookmarkEnd w:id="27"/>
    </w:p>
    <w:p w:rsidR="00D90CC5" w:rsidRDefault="00D90CC5" w:rsidP="00D90CC5">
      <w:pPr>
        <w:pStyle w:val="NormalWeb"/>
      </w:pPr>
      <w:r>
        <w:t xml:space="preserve">Consider extending the entity set </w:t>
      </w:r>
      <w:r>
        <w:rPr>
          <w:rStyle w:val="Emphasis"/>
        </w:rPr>
        <w:t>account</w:t>
      </w:r>
      <w:r>
        <w:t xml:space="preserve"> by classifying accounts as being either </w:t>
      </w:r>
      <w:r>
        <w:rPr>
          <w:rStyle w:val="Emphasis"/>
        </w:rPr>
        <w:t>savings-account</w:t>
      </w:r>
      <w:r>
        <w:t xml:space="preserve"> or </w:t>
      </w:r>
      <w:proofErr w:type="spellStart"/>
      <w:r>
        <w:rPr>
          <w:rStyle w:val="Emphasis"/>
        </w:rPr>
        <w:t>chequing</w:t>
      </w:r>
      <w:proofErr w:type="spellEnd"/>
      <w:r>
        <w:rPr>
          <w:rStyle w:val="Emphasis"/>
        </w:rPr>
        <w:t>-account</w:t>
      </w:r>
      <w:r>
        <w:t xml:space="preserve">. </w:t>
      </w:r>
    </w:p>
    <w:p w:rsidR="00D90CC5" w:rsidRDefault="00D90CC5" w:rsidP="00D90CC5">
      <w:pPr>
        <w:pStyle w:val="NormalWeb"/>
      </w:pPr>
      <w:r>
        <w:t xml:space="preserve">Each of these is described by the attributes of </w:t>
      </w:r>
      <w:r>
        <w:rPr>
          <w:rStyle w:val="Emphasis"/>
        </w:rPr>
        <w:t>account</w:t>
      </w:r>
      <w:r>
        <w:t xml:space="preserve"> plus additional attributes. (</w:t>
      </w:r>
      <w:proofErr w:type="gramStart"/>
      <w:r>
        <w:rPr>
          <w:rStyle w:val="Emphasis"/>
        </w:rPr>
        <w:t>savings</w:t>
      </w:r>
      <w:proofErr w:type="gramEnd"/>
      <w:r>
        <w:t xml:space="preserve"> has </w:t>
      </w:r>
      <w:r>
        <w:rPr>
          <w:rStyle w:val="Emphasis"/>
        </w:rPr>
        <w:t>interest-rate</w:t>
      </w:r>
      <w:r>
        <w:t xml:space="preserve"> and </w:t>
      </w:r>
      <w:proofErr w:type="spellStart"/>
      <w:r>
        <w:rPr>
          <w:rStyle w:val="Emphasis"/>
        </w:rPr>
        <w:t>chequing</w:t>
      </w:r>
      <w:proofErr w:type="spellEnd"/>
      <w:r>
        <w:t xml:space="preserve"> has </w:t>
      </w:r>
      <w:r>
        <w:rPr>
          <w:rStyle w:val="Emphasis"/>
        </w:rPr>
        <w:t>overdraft-amount</w:t>
      </w:r>
      <w:r>
        <w:t xml:space="preserve">.) </w:t>
      </w:r>
    </w:p>
    <w:p w:rsidR="00D90CC5" w:rsidRDefault="00D90CC5" w:rsidP="00D90CC5">
      <w:pPr>
        <w:pStyle w:val="NormalWeb"/>
      </w:pPr>
      <w:r>
        <w:t xml:space="preserve">We can express the similarities between the entity sets by </w:t>
      </w:r>
      <w:r>
        <w:rPr>
          <w:b/>
          <w:bCs/>
        </w:rPr>
        <w:t>generalization</w:t>
      </w:r>
      <w:r>
        <w:t xml:space="preserve">. This is the process of forming containment relationships between a </w:t>
      </w:r>
      <w:r>
        <w:rPr>
          <w:b/>
          <w:bCs/>
        </w:rPr>
        <w:t>higher-level</w:t>
      </w:r>
      <w:r>
        <w:t xml:space="preserve"> entity set and one or more </w:t>
      </w:r>
      <w:r>
        <w:rPr>
          <w:b/>
          <w:bCs/>
        </w:rPr>
        <w:t>lower-level</w:t>
      </w:r>
      <w:r>
        <w:t xml:space="preserve"> entity sets. </w:t>
      </w:r>
    </w:p>
    <w:p w:rsidR="00D90CC5" w:rsidRDefault="00D90CC5" w:rsidP="00D90CC5">
      <w:pPr>
        <w:pStyle w:val="NormalWeb"/>
      </w:pPr>
      <w:r>
        <w:t xml:space="preserve">In E-R diagrams, generalization is shown by a triangle, as shown in Figure </w:t>
      </w:r>
      <w:hyperlink r:id="rId22" w:anchor="fig219gen" w:history="1">
        <w:r>
          <w:rPr>
            <w:rStyle w:val="Hyperlink"/>
          </w:rPr>
          <w:t>2.19</w:t>
        </w:r>
      </w:hyperlink>
      <w:r>
        <w:t xml:space="preserve">. </w:t>
      </w:r>
    </w:p>
    <w:p w:rsidR="00D90CC5" w:rsidRDefault="00D90CC5" w:rsidP="00D90CC5">
      <w:pPr>
        <w:pStyle w:val="NormalWeb"/>
      </w:pPr>
      <w:bookmarkStart w:id="28" w:name="378"/>
      <w:r>
        <w:t> </w:t>
      </w:r>
      <w:bookmarkStart w:id="29" w:name="fig219gen"/>
      <w:bookmarkEnd w:id="28"/>
      <w:r>
        <w:t> </w:t>
      </w:r>
      <w:bookmarkEnd w:id="29"/>
      <w:r>
        <w:rPr>
          <w:noProof/>
        </w:rPr>
        <w:drawing>
          <wp:inline distT="0" distB="0" distL="0" distR="0">
            <wp:extent cx="1457960" cy="1932305"/>
            <wp:effectExtent l="19050" t="0" r="8890" b="0"/>
            <wp:docPr id="76" name="Picture 76" descr="http://www.cs.sfu.ca/CourseCentral/354/zaiane/material/notes/Chapter2/_13288_figure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s.sfu.ca/CourseCentral/354/zaiane/material/notes/Chapter2/_13288_figure375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2.19:</w:t>
      </w:r>
      <w:r>
        <w:t xml:space="preserve"> Generalization</w:t>
      </w:r>
    </w:p>
    <w:p w:rsidR="00D90CC5" w:rsidRDefault="00D90CC5" w:rsidP="00D90C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Generalization hides differences and emphasizes similarities. </w:t>
      </w:r>
    </w:p>
    <w:p w:rsidR="00D90CC5" w:rsidRDefault="00D90CC5" w:rsidP="00D90C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Distinction made through </w:t>
      </w:r>
      <w:r>
        <w:rPr>
          <w:b/>
          <w:bCs/>
        </w:rPr>
        <w:t>attribute inheritance</w:t>
      </w:r>
      <w:r>
        <w:t xml:space="preserve">. </w:t>
      </w:r>
    </w:p>
    <w:p w:rsidR="00D90CC5" w:rsidRDefault="00D90CC5" w:rsidP="00D90C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Attributes of higher-level entity are inherited by lower-level entities. </w:t>
      </w:r>
    </w:p>
    <w:p w:rsidR="00D90CC5" w:rsidRDefault="00D90CC5" w:rsidP="00D90C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Two methods for conversion to a table form: </w:t>
      </w:r>
    </w:p>
    <w:p w:rsidR="00D90CC5" w:rsidRDefault="00D90CC5" w:rsidP="00D90CC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Create a table for the high-level entity, plus tables for the lower-level entities containing also their specific attributes. </w:t>
      </w:r>
    </w:p>
    <w:p w:rsidR="00D90CC5" w:rsidRDefault="00D90CC5" w:rsidP="00D90CC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Create only tables for the lower-level entities. </w:t>
      </w:r>
    </w:p>
    <w:p w:rsidR="007B4544" w:rsidRDefault="007B4544"/>
    <w:p w:rsidR="007B4544" w:rsidRDefault="007B4544"/>
    <w:p w:rsidR="007B4544" w:rsidRDefault="007B4544"/>
    <w:p w:rsidR="007B4544" w:rsidRDefault="007B4544"/>
    <w:p w:rsidR="007B4544" w:rsidRDefault="007B4544"/>
    <w:p w:rsidR="00030513" w:rsidRDefault="00030513" w:rsidP="00030513">
      <w:pPr>
        <w:pStyle w:val="NormalWeb"/>
      </w:pPr>
    </w:p>
    <w:p w:rsidR="00030513" w:rsidRDefault="00030513" w:rsidP="00030513"/>
    <w:p w:rsidR="00030513" w:rsidRDefault="00030513" w:rsidP="00030513">
      <w:pPr>
        <w:pStyle w:val="Heading1"/>
      </w:pPr>
      <w:bookmarkStart w:id="30" w:name="SECTION001110000000000000000"/>
      <w:r>
        <w:t>Aggregation</w:t>
      </w:r>
      <w:bookmarkEnd w:id="30"/>
    </w:p>
    <w:p w:rsidR="00030513" w:rsidRDefault="00030513" w:rsidP="00030513">
      <w:pPr>
        <w:pStyle w:val="NormalWeb"/>
      </w:pPr>
      <w:r>
        <w:t xml:space="preserve">The E-R model cannot express relationships among relationships. </w:t>
      </w:r>
    </w:p>
    <w:p w:rsidR="00030513" w:rsidRDefault="00030513" w:rsidP="00030513">
      <w:pPr>
        <w:pStyle w:val="NormalWeb"/>
      </w:pPr>
      <w:r>
        <w:t xml:space="preserve">When would we need such a thing? </w:t>
      </w:r>
    </w:p>
    <w:p w:rsidR="00030513" w:rsidRDefault="00030513" w:rsidP="00030513">
      <w:pPr>
        <w:pStyle w:val="NormalWeb"/>
      </w:pPr>
      <w:r>
        <w:t xml:space="preserve">Consider a DB with information about employees who work on a particular project and use a number of machines doing that work. We get the E-R diagram shown in Figure </w:t>
      </w:r>
      <w:hyperlink r:id="rId24" w:anchor="fig220redn" w:history="1">
        <w:r>
          <w:rPr>
            <w:rStyle w:val="Hyperlink"/>
          </w:rPr>
          <w:t>2.20</w:t>
        </w:r>
      </w:hyperlink>
      <w:r>
        <w:t xml:space="preserve">. </w:t>
      </w:r>
    </w:p>
    <w:p w:rsidR="00030513" w:rsidRDefault="00030513" w:rsidP="00030513">
      <w:pPr>
        <w:pStyle w:val="NormalWeb"/>
      </w:pPr>
      <w:bookmarkStart w:id="31" w:name="391"/>
      <w:r>
        <w:t> </w:t>
      </w:r>
      <w:bookmarkStart w:id="32" w:name="fig220redn"/>
      <w:bookmarkEnd w:id="31"/>
      <w:r>
        <w:t> </w:t>
      </w:r>
      <w:bookmarkEnd w:id="32"/>
      <w:r>
        <w:rPr>
          <w:noProof/>
        </w:rPr>
        <w:drawing>
          <wp:inline distT="0" distB="0" distL="0" distR="0">
            <wp:extent cx="2553335" cy="2277110"/>
            <wp:effectExtent l="0" t="0" r="0" b="0"/>
            <wp:docPr id="91" name="Picture 91" descr="http://www.cs.sfu.ca/CourseCentral/354/zaiane/material/notes/Chapter2/_13288_figure3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s.sfu.ca/CourseCentral/354/zaiane/material/notes/Chapter2/_13288_figure388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2.20:</w:t>
      </w:r>
      <w:r>
        <w:t xml:space="preserve"> E-R diagram with redundant relationships</w:t>
      </w:r>
    </w:p>
    <w:p w:rsidR="00030513" w:rsidRDefault="00030513" w:rsidP="00030513">
      <w:pPr>
        <w:pStyle w:val="NormalWeb"/>
      </w:pPr>
      <w:r>
        <w:t xml:space="preserve">Relationship sets </w:t>
      </w:r>
      <w:r>
        <w:rPr>
          <w:rStyle w:val="Emphasis"/>
        </w:rPr>
        <w:t>work</w:t>
      </w:r>
      <w:r>
        <w:t xml:space="preserve"> and </w:t>
      </w:r>
      <w:r>
        <w:rPr>
          <w:rStyle w:val="Emphasis"/>
        </w:rPr>
        <w:t>uses</w:t>
      </w:r>
      <w:r>
        <w:t xml:space="preserve"> could be combined into a single set. However, they shouldn't be, as this would obscure the logical structure of this scheme. </w:t>
      </w:r>
    </w:p>
    <w:p w:rsidR="00030513" w:rsidRDefault="00030513" w:rsidP="00030513">
      <w:pPr>
        <w:pStyle w:val="NormalWeb"/>
      </w:pPr>
      <w:r>
        <w:t xml:space="preserve">The solution is to use </w:t>
      </w:r>
      <w:r>
        <w:rPr>
          <w:b/>
          <w:bCs/>
        </w:rPr>
        <w:t>aggregation</w:t>
      </w:r>
      <w:r>
        <w:t xml:space="preserve">. </w:t>
      </w:r>
    </w:p>
    <w:p w:rsidR="00030513" w:rsidRDefault="00030513" w:rsidP="000305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An abstraction through which relationships are treated as higher-level entities. </w:t>
      </w:r>
    </w:p>
    <w:p w:rsidR="00030513" w:rsidRDefault="00030513" w:rsidP="000305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For our example, we treat the relationship set </w:t>
      </w:r>
      <w:r>
        <w:rPr>
          <w:rStyle w:val="Emphasis"/>
        </w:rPr>
        <w:t>work</w:t>
      </w:r>
      <w:r>
        <w:t xml:space="preserve"> and the entity sets </w:t>
      </w:r>
      <w:r>
        <w:rPr>
          <w:rStyle w:val="Emphasis"/>
        </w:rPr>
        <w:t>employee</w:t>
      </w:r>
      <w:r>
        <w:t xml:space="preserve"> and </w:t>
      </w:r>
      <w:r>
        <w:rPr>
          <w:rStyle w:val="Emphasis"/>
        </w:rPr>
        <w:t>project</w:t>
      </w:r>
      <w:r>
        <w:t xml:space="preserve"> as a higher-level </w:t>
      </w:r>
      <w:r>
        <w:rPr>
          <w:b/>
          <w:bCs/>
        </w:rPr>
        <w:t>entity set</w:t>
      </w:r>
      <w:r>
        <w:t xml:space="preserve"> called </w:t>
      </w:r>
      <w:r>
        <w:rPr>
          <w:rStyle w:val="Emphasis"/>
        </w:rPr>
        <w:t>work</w:t>
      </w:r>
      <w:r>
        <w:t xml:space="preserve">. </w:t>
      </w:r>
    </w:p>
    <w:p w:rsidR="00030513" w:rsidRDefault="00030513" w:rsidP="000305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Figure </w:t>
      </w:r>
      <w:hyperlink r:id="rId26" w:anchor="fig221agg" w:history="1">
        <w:r>
          <w:rPr>
            <w:rStyle w:val="Hyperlink"/>
          </w:rPr>
          <w:t>2.21</w:t>
        </w:r>
      </w:hyperlink>
      <w:r>
        <w:t xml:space="preserve"> shows the E-R diagram with aggregation. </w:t>
      </w:r>
    </w:p>
    <w:p w:rsidR="00030513" w:rsidRDefault="00030513" w:rsidP="00030513">
      <w:pPr>
        <w:pStyle w:val="NormalWeb"/>
        <w:ind w:left="720"/>
      </w:pPr>
      <w:bookmarkStart w:id="33" w:name="407"/>
      <w:r>
        <w:lastRenderedPageBreak/>
        <w:t> </w:t>
      </w:r>
      <w:bookmarkStart w:id="34" w:name="fig221agg"/>
      <w:bookmarkEnd w:id="33"/>
      <w:r>
        <w:t> </w:t>
      </w:r>
      <w:bookmarkEnd w:id="34"/>
      <w:r>
        <w:rPr>
          <w:noProof/>
        </w:rPr>
        <w:drawing>
          <wp:inline distT="0" distB="0" distL="0" distR="0">
            <wp:extent cx="2682875" cy="2423795"/>
            <wp:effectExtent l="19050" t="0" r="3175" b="0"/>
            <wp:docPr id="92" name="Picture 92" descr="http://www.cs.sfu.ca/CourseCentral/354/zaiane/material/notes/Chapter2/_13288_figure4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s.sfu.ca/CourseCentral/354/zaiane/material/notes/Chapter2/_13288_figure404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rStyle w:val="Strong"/>
        </w:rPr>
        <w:t>Figure 2.21:</w:t>
      </w:r>
      <w:r>
        <w:t xml:space="preserve"> E-R diagram with aggregation</w:t>
      </w:r>
    </w:p>
    <w:p w:rsidR="00030513" w:rsidRDefault="00030513" w:rsidP="00030513">
      <w:r>
        <w:t xml:space="preserve">Transforming an E-R diagram with aggregation into tabular form is easy. We create a table for each entity and relationship set as before. </w:t>
      </w:r>
    </w:p>
    <w:p w:rsidR="00030513" w:rsidRDefault="00030513" w:rsidP="00030513">
      <w:pPr>
        <w:pStyle w:val="NormalWeb"/>
      </w:pPr>
      <w:r>
        <w:t xml:space="preserve">The table for relationship set </w:t>
      </w:r>
      <w:r>
        <w:rPr>
          <w:rStyle w:val="Emphasis"/>
        </w:rPr>
        <w:t>uses</w:t>
      </w:r>
      <w:r>
        <w:t xml:space="preserve"> contains a column for each attribute in the primary key of </w:t>
      </w:r>
      <w:r>
        <w:rPr>
          <w:rStyle w:val="Emphasis"/>
        </w:rPr>
        <w:t>machinery</w:t>
      </w:r>
      <w:r>
        <w:t xml:space="preserve"> and </w:t>
      </w:r>
      <w:r>
        <w:rPr>
          <w:rStyle w:val="Emphasis"/>
        </w:rPr>
        <w:t>work</w:t>
      </w:r>
      <w:r>
        <w:t xml:space="preserve">. </w:t>
      </w:r>
    </w:p>
    <w:p w:rsidR="007B4544" w:rsidRDefault="007B4544"/>
    <w:p w:rsidR="007B4544" w:rsidRDefault="007B4544"/>
    <w:p w:rsidR="007B4544" w:rsidRDefault="007B4544"/>
    <w:p w:rsidR="007B4544" w:rsidRDefault="007B4544"/>
    <w:p w:rsidR="007B4544" w:rsidRDefault="007B4544"/>
    <w:p w:rsidR="007B4544" w:rsidRDefault="007B4544"/>
    <w:p w:rsidR="007B4544" w:rsidRDefault="007B4544"/>
    <w:p w:rsidR="007B4544" w:rsidRDefault="007B4544"/>
    <w:p w:rsidR="00C748D1" w:rsidRDefault="00C748D1"/>
    <w:p w:rsidR="00C748D1" w:rsidRDefault="00C748D1"/>
    <w:p w:rsidR="00DC6C27" w:rsidRDefault="00DC6C27"/>
    <w:sectPr w:rsidR="00DC6C27" w:rsidSect="0090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522"/>
    <w:multiLevelType w:val="multilevel"/>
    <w:tmpl w:val="A0F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943CA"/>
    <w:multiLevelType w:val="multilevel"/>
    <w:tmpl w:val="A37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E3E6F"/>
    <w:multiLevelType w:val="multilevel"/>
    <w:tmpl w:val="B73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A3FC6"/>
    <w:multiLevelType w:val="multilevel"/>
    <w:tmpl w:val="8E3A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B5608"/>
    <w:multiLevelType w:val="multilevel"/>
    <w:tmpl w:val="68E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66E3E"/>
    <w:multiLevelType w:val="multilevel"/>
    <w:tmpl w:val="2C4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C0888"/>
    <w:multiLevelType w:val="multilevel"/>
    <w:tmpl w:val="08E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E0189"/>
    <w:multiLevelType w:val="multilevel"/>
    <w:tmpl w:val="40A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943FE"/>
    <w:multiLevelType w:val="multilevel"/>
    <w:tmpl w:val="3E2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54E7A"/>
    <w:multiLevelType w:val="multilevel"/>
    <w:tmpl w:val="D9D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00422"/>
    <w:multiLevelType w:val="multilevel"/>
    <w:tmpl w:val="564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31A95"/>
    <w:multiLevelType w:val="multilevel"/>
    <w:tmpl w:val="D79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D28AF"/>
    <w:multiLevelType w:val="multilevel"/>
    <w:tmpl w:val="E62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D52D20"/>
    <w:multiLevelType w:val="multilevel"/>
    <w:tmpl w:val="A31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3"/>
  </w:num>
  <w:num w:numId="5">
    <w:abstractNumId w:val="8"/>
  </w:num>
  <w:num w:numId="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4545"/>
    <w:rsid w:val="00030513"/>
    <w:rsid w:val="001219CE"/>
    <w:rsid w:val="00160CBB"/>
    <w:rsid w:val="00395A0B"/>
    <w:rsid w:val="005E6DBD"/>
    <w:rsid w:val="007610F6"/>
    <w:rsid w:val="0078144B"/>
    <w:rsid w:val="007B4544"/>
    <w:rsid w:val="007D3A46"/>
    <w:rsid w:val="00904494"/>
    <w:rsid w:val="009E61A2"/>
    <w:rsid w:val="00A20FC6"/>
    <w:rsid w:val="00A664D7"/>
    <w:rsid w:val="00B046EA"/>
    <w:rsid w:val="00C748D1"/>
    <w:rsid w:val="00D90CC5"/>
    <w:rsid w:val="00DC6C27"/>
    <w:rsid w:val="00DF7333"/>
    <w:rsid w:val="00F64545"/>
    <w:rsid w:val="00F9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94"/>
  </w:style>
  <w:style w:type="paragraph" w:styleId="Heading1">
    <w:name w:val="heading 1"/>
    <w:basedOn w:val="Normal"/>
    <w:link w:val="Heading1Char"/>
    <w:uiPriority w:val="9"/>
    <w:qFormat/>
    <w:rsid w:val="00F64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5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4545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6454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6454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6D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cs.sfu.ca/CourseCentral/354/zaiane/material/notes/Chapter2/node6.html" TargetMode="External"/><Relationship Id="rId18" Type="http://schemas.openxmlformats.org/officeDocument/2006/relationships/image" Target="media/image9.gif"/><Relationship Id="rId26" Type="http://schemas.openxmlformats.org/officeDocument/2006/relationships/hyperlink" Target="http://www.cs.sfu.ca/CourseCentral/354/zaiane/material/notes/Chapter2/node15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image" Target="media/image3.gif"/><Relationship Id="rId12" Type="http://schemas.openxmlformats.org/officeDocument/2006/relationships/image" Target="media/image6.gif"/><Relationship Id="rId17" Type="http://schemas.openxmlformats.org/officeDocument/2006/relationships/hyperlink" Target="http://www.cs.sfu.ca/CourseCentral/354/zaiane/material/notes/Chapter2/node8.html" TargetMode="External"/><Relationship Id="rId25" Type="http://schemas.openxmlformats.org/officeDocument/2006/relationships/image" Target="media/image14.gif"/><Relationship Id="rId2" Type="http://schemas.openxmlformats.org/officeDocument/2006/relationships/styles" Target="styles.xml"/><Relationship Id="rId16" Type="http://schemas.openxmlformats.org/officeDocument/2006/relationships/hyperlink" Target="http://www.cs.sfu.ca/CourseCentral/354/zaiane/material/notes/Chapter2/node8.html" TargetMode="External"/><Relationship Id="rId20" Type="http://schemas.openxmlformats.org/officeDocument/2006/relationships/image" Target="media/image11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cs.sfu.ca/CourseCentral/354/zaiane/material/notes/Chapter2/node1.html" TargetMode="External"/><Relationship Id="rId24" Type="http://schemas.openxmlformats.org/officeDocument/2006/relationships/hyperlink" Target="http://www.cs.sfu.ca/CourseCentral/354/zaiane/material/notes/Chapter2/node15.html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8.gif"/><Relationship Id="rId23" Type="http://schemas.openxmlformats.org/officeDocument/2006/relationships/image" Target="media/image13.gif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hyperlink" Target="http://www.cs.sfu.ca/CourseCentral/354/zaiane/material/notes/Chapter2/node8.html" TargetMode="External"/><Relationship Id="rId14" Type="http://schemas.openxmlformats.org/officeDocument/2006/relationships/image" Target="media/image7.gif"/><Relationship Id="rId22" Type="http://schemas.openxmlformats.org/officeDocument/2006/relationships/hyperlink" Target="http://www.cs.sfu.ca/CourseCentral/354/zaiane/material/notes/Chapter2/node14.html" TargetMode="External"/><Relationship Id="rId27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1995</Words>
  <Characters>11374</Characters>
  <Application>Microsoft Office Word</Application>
  <DocSecurity>0</DocSecurity>
  <Lines>94</Lines>
  <Paragraphs>26</Paragraphs>
  <ScaleCrop>false</ScaleCrop>
  <Company>Grizli777</Company>
  <LinksUpToDate>false</LinksUpToDate>
  <CharactersWithSpaces>13343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18</cp:revision>
  <dcterms:created xsi:type="dcterms:W3CDTF">2012-07-25T09:20:00Z</dcterms:created>
  <dcterms:modified xsi:type="dcterms:W3CDTF">2012-07-25T11:26:00Z</dcterms:modified>
</cp:coreProperties>
</file>