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(Slip Opinion) OCTOBER TERM, 2022 1</w:t>
      </w:r>
    </w:p>
    <w:p>
      <w:pPr>
        <w:pStyle w:val="PreformattedText"/>
        <w:bidi w:val="0"/>
        <w:spacing w:before="0" w:after="0"/>
        <w:jc w:val="left"/>
        <w:rPr/>
      </w:pPr>
      <w:r>
        <w:rPr/>
      </w:r>
    </w:p>
    <w:p>
      <w:pPr>
        <w:pStyle w:val="PreformattedText"/>
        <w:bidi w:val="0"/>
        <w:spacing w:before="0" w:after="0"/>
        <w:jc w:val="left"/>
        <w:rPr/>
      </w:pPr>
      <w:r>
        <w:rPr/>
        <w:t>Syllabus</w:t>
      </w:r>
    </w:p>
    <w:p>
      <w:pPr>
        <w:pStyle w:val="PreformattedText"/>
        <w:bidi w:val="0"/>
        <w:spacing w:before="0" w:after="0"/>
        <w:jc w:val="left"/>
        <w:rPr/>
      </w:pPr>
      <w:r>
        <w:rPr/>
      </w:r>
    </w:p>
    <w:p>
      <w:pPr>
        <w:pStyle w:val="PreformattedText"/>
        <w:bidi w:val="0"/>
        <w:spacing w:before="0" w:after="0"/>
        <w:jc w:val="left"/>
        <w:rPr/>
      </w:pPr>
      <w:r>
        <w:rPr/>
        <w:t>NOTE: Where it is feasible, a syllabus (headnote) will be released, as is  being done in connection with this case, at the time the opinion is issued.</w:t>
      </w:r>
    </w:p>
    <w:p>
      <w:pPr>
        <w:pStyle w:val="PreformattedText"/>
        <w:bidi w:val="0"/>
        <w:spacing w:before="0" w:after="0"/>
        <w:jc w:val="left"/>
        <w:rPr/>
      </w:pPr>
      <w:r>
        <w:rPr/>
      </w:r>
    </w:p>
    <w:p>
      <w:pPr>
        <w:pStyle w:val="PreformattedText"/>
        <w:bidi w:val="0"/>
        <w:spacing w:before="0" w:after="0"/>
        <w:jc w:val="left"/>
        <w:rPr/>
      </w:pPr>
      <w:r>
        <w:rPr/>
        <w:t>The syllabus constitutes no part of the opinion of the Court but has been</w:t>
      </w:r>
    </w:p>
    <w:p>
      <w:pPr>
        <w:pStyle w:val="PreformattedText"/>
        <w:bidi w:val="0"/>
        <w:spacing w:before="0" w:after="0"/>
        <w:jc w:val="left"/>
        <w:rPr/>
      </w:pPr>
      <w:r>
        <w:rPr/>
      </w:r>
    </w:p>
    <w:p>
      <w:pPr>
        <w:pStyle w:val="PreformattedText"/>
        <w:bidi w:val="0"/>
        <w:spacing w:before="0" w:after="0"/>
        <w:jc w:val="left"/>
        <w:rPr/>
      </w:pPr>
      <w:r>
        <w:rPr/>
        <w:t>prepared by the Reporter of Decisions for the convenience of the reader.  See United States v. Detroit Timber &amp; Lumber Co., 200 U. S. 321, 337.</w:t>
      </w:r>
    </w:p>
    <w:p>
      <w:pPr>
        <w:pStyle w:val="PreformattedText"/>
        <w:bidi w:val="0"/>
        <w:spacing w:before="0" w:after="0"/>
        <w:jc w:val="left"/>
        <w:rPr/>
      </w:pPr>
      <w:r>
        <w:rPr/>
      </w:r>
    </w:p>
    <w:p>
      <w:pPr>
        <w:pStyle w:val="PreformattedText"/>
        <w:bidi w:val="0"/>
        <w:spacing w:before="0" w:after="0"/>
        <w:jc w:val="left"/>
        <w:rPr/>
      </w:pPr>
      <w:r>
        <w:rPr/>
        <w:t>SUPREME COURT OF THE UNITED STATES</w:t>
      </w:r>
    </w:p>
    <w:p>
      <w:pPr>
        <w:pStyle w:val="PreformattedText"/>
        <w:bidi w:val="0"/>
        <w:spacing w:before="0" w:after="0"/>
        <w:jc w:val="left"/>
        <w:rPr/>
      </w:pPr>
      <w:r>
        <w:rPr/>
      </w:r>
    </w:p>
    <w:p>
      <w:pPr>
        <w:pStyle w:val="PreformattedText"/>
        <w:bidi w:val="0"/>
        <w:spacing w:before="0" w:after="0"/>
        <w:jc w:val="left"/>
        <w:rPr/>
      </w:pPr>
      <w:r>
        <w:rPr/>
        <w:t>Syllabus</w:t>
      </w:r>
    </w:p>
    <w:p>
      <w:pPr>
        <w:pStyle w:val="PreformattedText"/>
        <w:bidi w:val="0"/>
        <w:spacing w:before="0" w:after="0"/>
        <w:jc w:val="left"/>
        <w:rPr/>
      </w:pPr>
      <w:r>
        <w:rPr/>
      </w:r>
    </w:p>
    <w:p>
      <w:pPr>
        <w:pStyle w:val="PreformattedText"/>
        <w:bidi w:val="0"/>
        <w:spacing w:before="0" w:after="0"/>
        <w:jc w:val="left"/>
        <w:rPr/>
      </w:pPr>
      <w:r>
        <w:rPr/>
        <w:t>303 CREATIVE LLC ET AL. v. ELENIS ET AL.</w:t>
      </w:r>
    </w:p>
    <w:p>
      <w:pPr>
        <w:pStyle w:val="PreformattedText"/>
        <w:bidi w:val="0"/>
        <w:spacing w:before="0" w:after="0"/>
        <w:jc w:val="left"/>
        <w:rPr/>
      </w:pPr>
      <w:r>
        <w:rPr/>
      </w:r>
    </w:p>
    <w:p>
      <w:pPr>
        <w:pStyle w:val="PreformattedText"/>
        <w:bidi w:val="0"/>
        <w:spacing w:before="0" w:after="0"/>
        <w:jc w:val="left"/>
        <w:rPr/>
      </w:pPr>
      <w:r>
        <w:rPr/>
        <w:t>CERTIORARI TO THE UNITED STATES COURT OF APPEALS FOR  THE TENTH CIRCUIT</w:t>
      </w:r>
    </w:p>
    <w:p>
      <w:pPr>
        <w:pStyle w:val="PreformattedText"/>
        <w:bidi w:val="0"/>
        <w:spacing w:before="0" w:after="0"/>
        <w:jc w:val="left"/>
        <w:rPr/>
      </w:pPr>
      <w:r>
        <w:rPr/>
      </w:r>
    </w:p>
    <w:p>
      <w:pPr>
        <w:pStyle w:val="PreformattedText"/>
        <w:bidi w:val="0"/>
        <w:spacing w:before="0" w:after="0"/>
        <w:jc w:val="left"/>
        <w:rPr/>
      </w:pPr>
      <w:r>
        <w:rPr/>
        <w:t>No. 21–476. Argued December 5, 2022—Decided June 30, 2023</w:t>
      </w:r>
    </w:p>
    <w:p>
      <w:pPr>
        <w:pStyle w:val="PreformattedText"/>
        <w:bidi w:val="0"/>
        <w:spacing w:before="0" w:after="0"/>
        <w:jc w:val="left"/>
        <w:rPr/>
      </w:pPr>
      <w:r>
        <w:rPr/>
      </w:r>
    </w:p>
    <w:p>
      <w:pPr>
        <w:pStyle w:val="PreformattedText"/>
        <w:bidi w:val="0"/>
        <w:spacing w:before="0" w:after="0"/>
        <w:jc w:val="left"/>
        <w:rPr/>
      </w:pPr>
      <w:r>
        <w:rPr/>
        <w:t>Lorie Smith wants to expand her graphic design business, 303 Creative  LLC, to include services for couples seeking wedding websites. But  Ms. Smith worries that Colorado will use the Colorado Anti-Discrimination Act to compel her—in violation of the First Amendment—to create websites celebrating marriages she does not endorse. To clarify  her rights, Ms. Smith filed a lawsuit seeking an injunction to prevent the State from forcing her to create websites celebrating marriages  that defy her belief that marriage should be reserved to unions be tween one man and one woman.</w:t>
      </w:r>
    </w:p>
    <w:p>
      <w:pPr>
        <w:pStyle w:val="PreformattedText"/>
        <w:bidi w:val="0"/>
        <w:spacing w:before="0" w:after="0"/>
        <w:jc w:val="left"/>
        <w:rPr/>
      </w:pPr>
      <w:r>
        <w:rPr/>
      </w:r>
    </w:p>
    <w:p>
      <w:pPr>
        <w:pStyle w:val="PreformattedText"/>
        <w:bidi w:val="0"/>
        <w:spacing w:before="0" w:after="0"/>
        <w:jc w:val="left"/>
        <w:rPr/>
      </w:pPr>
      <w:r>
        <w:rPr/>
        <w:t>CADA prohibits all “public accommodations” from denying “the full and equal enjoyment” of its goods and services to any customer based on his race, creed, disability, sexual orientation, or other statutorily  enumerated trait. Colo. Rev. Stat. §24–34–601(2)(a). The law defines  “public accommodation” broadly to include almost every public-facing business in the State. §24–34–601(1). Either state officials or private  citizens may bring actions to enforce the law. §§24–34–306, 24–34–  602(1). And a variety of penalties can follow any violation.</w:t>
      </w:r>
    </w:p>
    <w:p>
      <w:pPr>
        <w:pStyle w:val="PreformattedText"/>
        <w:bidi w:val="0"/>
        <w:spacing w:before="0" w:after="0"/>
        <w:jc w:val="left"/>
        <w:rPr/>
      </w:pPr>
      <w:r>
        <w:rPr/>
      </w:r>
    </w:p>
    <w:p>
      <w:pPr>
        <w:pStyle w:val="PreformattedText"/>
        <w:bidi w:val="0"/>
        <w:spacing w:before="0" w:after="0"/>
        <w:jc w:val="left"/>
        <w:rPr/>
      </w:pPr>
      <w:r>
        <w:rPr/>
        <w:t>Before the district court, Ms. Smith and the State stipulated to a  number of facts: Ms. Smith is “willing to work with all people regard less of classifications such as race, creed, sexual orientation, and gender” and “will gladly create custom graphics and websites” for clients of any sexual orientation; she will not produce content that “contradicts biblical truth” regardless of who orders it; Ms. Smith’s belief that  marriage is a union between one man and one woman is a sincerely  held conviction; Ms. Smith provides design services that are “expressive” and her “original, customized” creations “contribute to the over all message” her business conveys “through the websites” it creates; the wedding websites she plans to create “will be expressive in nature,” will be “customized and tailored” through close collaboration with individual couples, and will “express Ms. Smith’s and 303 Creative’s message celebrating and promoting” her view of marriage; viewers of Ms. Smith’s websites “will know that the websites are her original art work;” and “there are numerous companies in the State of Colorado and across the nation that offer custom website design services.”</w:t>
      </w:r>
    </w:p>
    <w:p>
      <w:pPr>
        <w:pStyle w:val="PreformattedText"/>
        <w:bidi w:val="0"/>
        <w:spacing w:before="0" w:after="0"/>
        <w:jc w:val="left"/>
        <w:rPr/>
      </w:pPr>
      <w:r>
        <w:rPr/>
      </w:r>
    </w:p>
    <w:p>
      <w:pPr>
        <w:pStyle w:val="PreformattedText"/>
        <w:bidi w:val="0"/>
        <w:spacing w:before="0" w:after="0"/>
        <w:jc w:val="left"/>
        <w:rPr/>
      </w:pPr>
      <w:r>
        <w:rPr/>
        <w:t>Ultimately, the district court held that Ms. Smith was not entitled  to the injunction she sought, and the Tenth Circuit affirmed.</w:t>
      </w:r>
    </w:p>
    <w:p>
      <w:pPr>
        <w:pStyle w:val="PreformattedText"/>
        <w:bidi w:val="0"/>
        <w:spacing w:before="0" w:after="0"/>
        <w:jc w:val="left"/>
        <w:rPr/>
      </w:pPr>
      <w:r>
        <w:rPr/>
      </w:r>
    </w:p>
    <w:p>
      <w:pPr>
        <w:pStyle w:val="PreformattedText"/>
        <w:bidi w:val="0"/>
        <w:spacing w:before="0" w:after="0"/>
        <w:jc w:val="left"/>
        <w:rPr/>
      </w:pPr>
      <w:r>
        <w:rPr/>
        <w:t>Held: The First Amendment prohibits Colorado from forcing a website  designer to create expressive designs speaking messages with which  the designer disagrees. Pp. 6–26.</w:t>
      </w:r>
    </w:p>
    <w:p>
      <w:pPr>
        <w:pStyle w:val="PreformattedText"/>
        <w:bidi w:val="0"/>
        <w:spacing w:before="0" w:after="0"/>
        <w:jc w:val="left"/>
        <w:rPr/>
      </w:pPr>
      <w:r>
        <w:rPr/>
      </w:r>
    </w:p>
    <w:p>
      <w:pPr>
        <w:pStyle w:val="PreformattedText"/>
        <w:bidi w:val="0"/>
        <w:spacing w:before="0" w:after="0"/>
        <w:jc w:val="left"/>
        <w:rPr/>
      </w:pPr>
      <w:r>
        <w:rPr/>
        <w:t>(a) The framers designed the Free Speech Clause of the First</w:t>
      </w:r>
    </w:p>
    <w:p>
      <w:pPr>
        <w:pStyle w:val="PreformattedText"/>
        <w:bidi w:val="0"/>
        <w:spacing w:before="0" w:after="0"/>
        <w:jc w:val="left"/>
        <w:rPr/>
      </w:pPr>
      <w:r>
        <w:rPr/>
      </w:r>
    </w:p>
    <w:p>
      <w:pPr>
        <w:pStyle w:val="PreformattedText"/>
        <w:bidi w:val="0"/>
        <w:spacing w:before="0" w:after="0"/>
        <w:jc w:val="left"/>
        <w:rPr/>
      </w:pPr>
      <w:r>
        <w:rPr/>
        <w:t>Amendment to protect the “freedom to think as you will and to speak as you think.” Boy Scouts of America v. Dale, 530 U. S. 640, 660–661  (internal quotation marks omitted). The freedom to speak is among  our inalienable rights. The freedom of thought and speech is “indispensable to the discovery and spread of political truth.” Whitney v.  California, 274 U. S. 357, 375 (Brandeis, J., concurring). For these  reasons, “[i]f there is any fixed star in our constitutional constellation,”  West Virginia Bd. of Ed. v. Barnette, 319 U. S. 624, 642, it is the principle that the government may not interfere with “an uninhibited marketplace of ideas,” McCullen v. Coakley, 573 U. S. 464, 476 (internal  quotation marks omitted).</w:t>
      </w:r>
    </w:p>
    <w:p>
      <w:pPr>
        <w:pStyle w:val="PreformattedText"/>
        <w:bidi w:val="0"/>
        <w:spacing w:before="0" w:after="0"/>
        <w:jc w:val="left"/>
        <w:rPr/>
      </w:pPr>
      <w:r>
        <w:rPr/>
      </w:r>
    </w:p>
    <w:p>
      <w:pPr>
        <w:pStyle w:val="PreformattedText"/>
        <w:bidi w:val="0"/>
        <w:spacing w:before="0" w:after="0"/>
        <w:jc w:val="left"/>
        <w:rPr/>
      </w:pPr>
      <w:r>
        <w:rPr/>
        <w:t xml:space="preserve">This Court has previously faced cases where governments have [its] choice not to propound a point of view contrary to its beliefs.” Id., Cite as: 600 U. S. ____ (2023) </w:t>
      </w:r>
      <w:r>
        <w:rPr/>
        <w:t xml:space="preserve">3 </w:t>
      </w:r>
      <w:r>
        <w:rPr/>
        <w:t>at 654.</w:t>
      </w:r>
    </w:p>
    <w:p>
      <w:pPr>
        <w:pStyle w:val="PreformattedText"/>
        <w:bidi w:val="0"/>
        <w:spacing w:before="0" w:after="0"/>
        <w:jc w:val="left"/>
        <w:rPr/>
      </w:pPr>
      <w:r>
        <w:rPr/>
      </w:r>
    </w:p>
    <w:p>
      <w:pPr>
        <w:pStyle w:val="PreformattedText"/>
        <w:bidi w:val="0"/>
        <w:spacing w:before="0" w:after="0"/>
        <w:jc w:val="left"/>
        <w:rPr/>
      </w:pPr>
      <w:r>
        <w:rPr/>
        <w:t>These cases illustrate that the First Amendment protects an individual’s right to speak his mind regardless of whether the government considers his speech sensible and well intentioned or deeply “misguided,” Hurley, 515 U. S., at 574, and likely to cause “anguish” or “in calculable grief,” Snyder v. Phelps, 562 U. S. 443, 456. Generally, too, the government may not compel a person to speak its own preferred  messages. See Tinker v. DesMoines Independent Community School  Dist., 393 U. S. 503, 505. Pp. 6–9.</w:t>
      </w:r>
    </w:p>
    <w:p>
      <w:pPr>
        <w:pStyle w:val="PreformattedText"/>
        <w:bidi w:val="0"/>
        <w:spacing w:before="0" w:after="0"/>
        <w:jc w:val="left"/>
        <w:rPr/>
      </w:pPr>
      <w:r>
        <w:rPr/>
      </w:r>
    </w:p>
    <w:p>
      <w:pPr>
        <w:pStyle w:val="PreformattedText"/>
        <w:bidi w:val="0"/>
        <w:spacing w:before="0" w:after="0"/>
        <w:jc w:val="left"/>
        <w:rPr/>
      </w:pPr>
      <w:r>
        <w:rPr/>
        <w:t>(b) Applying these principles to the parties’ stipulated facts, the Court agrees with the Tenth Circuit that the wedding websites Ms.  Smith seeks to create qualify as pure speech protected by the First  Amendment under this Court’s precedents. Ms. Smith’s websites will  express and communicate ideas—namely, those that “celebrate and promote the couple’s wedding and unique love story” and those that  “celebrate and promote” what Ms. Smith understands to be a marriage. Speech conveyed over the internet, like all other manner of  speech, qualifies for the First Amendment’s protections. And the  Court agrees with the Tenth Circuit that the wedding websites Ms.  Smith seeks to create involve her speech, a conclusion supported by the parties’ stipulations, including that Ms. Smith intends to produce a final story for each couple using her own words and original artwork.  While Ms. Smith’s speech may combine with the couple’s in a final  product, an individual “does not forfeit constitutional protection simply by combining multifarious voices” in a single communication.  Hurley, 515 U. S., at 569.</w:t>
      </w:r>
    </w:p>
    <w:p>
      <w:pPr>
        <w:pStyle w:val="PreformattedText"/>
        <w:bidi w:val="0"/>
        <w:spacing w:before="0" w:after="0"/>
        <w:jc w:val="left"/>
        <w:rPr/>
      </w:pPr>
      <w:r>
        <w:rPr/>
      </w:r>
    </w:p>
    <w:p>
      <w:pPr>
        <w:pStyle w:val="PreformattedText"/>
        <w:bidi w:val="0"/>
        <w:spacing w:before="0" w:after="0"/>
        <w:jc w:val="left"/>
        <w:rPr/>
      </w:pPr>
      <w:r>
        <w:rPr/>
        <w:t>Ms. Smith seeks to engage in protected First Amendment speech; as the State demands or face sanctions for expressing her own beliefs, sanctions that may include compulsory participation in “remedial . . .  training,” filing periodic compliance reports, and paying monetary  fines. That is an impermissible abridgement of the First Amendment’s  right to speak freely. Hurley, 515 U. S., at 574.</w:t>
      </w:r>
    </w:p>
    <w:p>
      <w:pPr>
        <w:pStyle w:val="PreformattedText"/>
        <w:bidi w:val="0"/>
        <w:spacing w:before="0" w:after="0"/>
        <w:jc w:val="left"/>
        <w:rPr/>
      </w:pPr>
      <w:r>
        <w:rPr/>
      </w:r>
    </w:p>
    <w:p>
      <w:pPr>
        <w:pStyle w:val="PreformattedText"/>
        <w:bidi w:val="0"/>
        <w:spacing w:before="0" w:after="0"/>
        <w:jc w:val="left"/>
        <w:rPr/>
      </w:pPr>
      <w:r>
        <w:rPr/>
        <w:t>Under Colorado’s logic, the government may compel anyone who Cite as: 600 U. S. ____ (2023) 5578; Dale, 530 U. S., at 659. As in those cases, when Colorado’s public accommodations law and the Constitution collide, there can be no  question which must prevail. U. S. Const. Art. VI, §2.</w:t>
      </w:r>
    </w:p>
    <w:p>
      <w:pPr>
        <w:pStyle w:val="PreformattedText"/>
        <w:bidi w:val="0"/>
        <w:spacing w:before="0" w:after="0"/>
        <w:jc w:val="left"/>
        <w:rPr/>
      </w:pPr>
      <w:r>
        <w:rPr/>
      </w:r>
    </w:p>
    <w:p>
      <w:pPr>
        <w:pStyle w:val="PreformattedText"/>
        <w:bidi w:val="0"/>
        <w:spacing w:before="0" w:after="0"/>
        <w:jc w:val="left"/>
        <w:rPr/>
      </w:pPr>
      <w:r>
        <w:rPr/>
        <w:t>As the Tenth Circuit saw it, Colorado has a compelling interest in ensuring “equal access to publicly available goods and services,” and  no option short of coercing speech from Ms. Smith can satisfy that interest because she plans to offer “unique services” that are, “by definition, unavailable elsewhere.” 6 F. 4th, at 1179–1180 (internal quotation marks omitted). In some sense, of course, her voice is unique; so  is everyone’s. But that hardly means a State may coopt an individual’s voice for its own purposes. The speaker in Hurley had an “enviable”  outlet for speech, and the Boy Scouts in Dale offered an arguably  unique experience, but in both cases this Court held that the State  could not use its public accommodations statute to deny a speaker the right “to choose the content of his own message.” Hurley, 515 U. S., at  573; see Dale, 530 U. S., at 650–656. A rule otherwise would conscript any unique voice to disseminate the government’s preferred messages in violation of the First Amendment. Pp. 9–15.</w:t>
      </w:r>
    </w:p>
    <w:p>
      <w:pPr>
        <w:pStyle w:val="PreformattedText"/>
        <w:bidi w:val="0"/>
        <w:spacing w:before="0" w:after="0"/>
        <w:jc w:val="left"/>
        <w:rPr/>
      </w:pPr>
      <w:r>
        <w:rPr/>
      </w:r>
    </w:p>
    <w:p>
      <w:pPr>
        <w:pStyle w:val="PreformattedText"/>
        <w:bidi w:val="0"/>
        <w:spacing w:before="0" w:after="0"/>
        <w:jc w:val="left"/>
        <w:rPr/>
      </w:pPr>
      <w:r>
        <w:rPr/>
        <w:t>(c) Colorado now seems to acknowledge that the First Amendment</w:t>
      </w:r>
    </w:p>
    <w:p>
      <w:pPr>
        <w:pStyle w:val="PreformattedText"/>
        <w:bidi w:val="0"/>
        <w:spacing w:before="0" w:after="0"/>
        <w:jc w:val="left"/>
        <w:rPr/>
      </w:pPr>
      <w:r>
        <w:rPr/>
      </w:r>
    </w:p>
    <w:p>
      <w:pPr>
        <w:pStyle w:val="PreformattedText"/>
        <w:bidi w:val="0"/>
        <w:spacing w:before="0" w:after="0"/>
        <w:jc w:val="left"/>
        <w:rPr/>
      </w:pPr>
      <w:r>
        <w:rPr/>
        <w:t>The State stresses that Ms. Smith offers her speech for pay and does so through 303 Creative LLC, a company in which she is “the sole  member-owner.” But many of the world’s great works of literature and  art were created with an expectation of compensation. And speakers do not shed their First Amendment protections by employing the corporate form to disseminate their speech. Colorado urges the Court to  look at the reason Ms. Smith refuses to offer the speech it seeks to  compel, and it claims that the reason is that she objects to the “protected characteristics” of certain customers. But the parties’ stipulations state, to the contrary, that Ms. Smith will gladly conduct business with those having protected characteristics so long as the custom graphics and websites she is asked to create do not violate her beliefs.</w:t>
      </w:r>
    </w:p>
    <w:p>
      <w:pPr>
        <w:pStyle w:val="PreformattedText"/>
        <w:bidi w:val="0"/>
        <w:spacing w:before="0" w:after="0"/>
        <w:jc w:val="left"/>
        <w:rPr/>
      </w:pPr>
      <w:r>
        <w:rPr/>
      </w:r>
    </w:p>
    <w:p>
      <w:pPr>
        <w:pStyle w:val="PreformattedText"/>
        <w:bidi w:val="0"/>
        <w:spacing w:before="0" w:after="0"/>
        <w:jc w:val="left"/>
        <w:rPr/>
      </w:pPr>
      <w:r>
        <w:rPr/>
        <w:t>Ms. Smith stresses that she does not create expressions that defy any of her beliefs for any customer, whether that involves encouraging violence, demeaning another person, or promoting views inconsistent  with her religious commitments.</w:t>
      </w:r>
    </w:p>
    <w:p>
      <w:pPr>
        <w:pStyle w:val="PreformattedText"/>
        <w:bidi w:val="0"/>
        <w:spacing w:before="0" w:after="0"/>
        <w:jc w:val="left"/>
        <w:rPr/>
      </w:pPr>
      <w:r>
        <w:rPr/>
      </w:r>
    </w:p>
    <w:p>
      <w:pPr>
        <w:pStyle w:val="PreformattedText"/>
        <w:bidi w:val="0"/>
        <w:spacing w:before="0" w:after="0"/>
        <w:jc w:val="left"/>
        <w:rPr/>
      </w:pPr>
      <w:r>
        <w:rPr/>
        <w:t>The First Amendment’s protections belong to all, not just to speakers whose motives the government finds worthy. In this case, Colorado  seeks to force an individual to speak in ways that align with its views but defy her conscience about a matter of major significance. In the  past, other States in Barnette, Hurley, and Dale have similarly tested  the First Amendment’s boundaries by seeking to compel speech they  thought vital at the time. But abiding the Constitution’s commitment to the freedom of speech means all will encounter ideas that are “misguided, or even hurtful.” Hurley, 515 U. S., at 574. Consistent with  the First Amendment, the Nation’s answer is tolerance, not coercion.  The First Amendment envisions the United States as a rich and com plex place where all persons are free to think and speak as they wish,  not as the government demands. Colorado cannot deny that promise consistent with the First Amendment. Pp. 15–19, 24–25.  6 F. 4th 1160, reversed.</w:t>
      </w:r>
    </w:p>
    <w:p>
      <w:pPr>
        <w:pStyle w:val="PreformattedText"/>
        <w:bidi w:val="0"/>
        <w:spacing w:before="0" w:after="0"/>
        <w:jc w:val="left"/>
        <w:rPr/>
      </w:pPr>
      <w:r>
        <w:rPr/>
      </w:r>
    </w:p>
    <w:p>
      <w:pPr>
        <w:pStyle w:val="PreformattedText"/>
        <w:bidi w:val="0"/>
        <w:spacing w:before="0" w:after="0"/>
        <w:jc w:val="left"/>
        <w:rPr/>
      </w:pPr>
      <w:r>
        <w:rPr/>
        <w:t>GORSUCH, J., delivered the opinion of the Court, in which ROBERTS,  C. J., and THOMAS, ALITO, KAVANAUGH, and BARRETT, JJ., joined. SO TOMAYOR, J., filed a dissenting opinion, in which KAGAN and JACKSON,  JJ., joined.</w:t>
      </w:r>
    </w:p>
    <w:p>
      <w:pPr>
        <w:pStyle w:val="PreformattedText"/>
        <w:bidi w:val="0"/>
        <w:spacing w:before="0" w:after="0"/>
        <w:jc w:val="left"/>
        <w:rPr/>
      </w:pPr>
      <w:r>
        <w:rPr/>
      </w:r>
    </w:p>
    <w:p>
      <w:pPr>
        <w:pStyle w:val="PreformattedText"/>
        <w:bidi w:val="0"/>
        <w:spacing w:before="0" w:after="0"/>
        <w:jc w:val="left"/>
        <w:rPr/>
      </w:pPr>
      <w:r>
        <w:rPr/>
        <w:t>Cite as: 600 U. S. ____ (2023) 1</w:t>
      </w:r>
    </w:p>
    <w:p>
      <w:pPr>
        <w:pStyle w:val="PreformattedText"/>
        <w:bidi w:val="0"/>
        <w:spacing w:before="0" w:after="0"/>
        <w:jc w:val="left"/>
        <w:rPr/>
      </w:pPr>
      <w:r>
        <w:rPr/>
      </w:r>
    </w:p>
    <w:p>
      <w:pPr>
        <w:pStyle w:val="PreformattedText"/>
        <w:bidi w:val="0"/>
        <w:spacing w:before="0" w:after="0"/>
        <w:jc w:val="left"/>
        <w:rPr/>
      </w:pPr>
      <w:r>
        <w:rPr/>
        <w:t>Opinion of the Court</w:t>
      </w:r>
    </w:p>
    <w:p>
      <w:pPr>
        <w:pStyle w:val="PreformattedText"/>
        <w:bidi w:val="0"/>
        <w:spacing w:before="0" w:after="0"/>
        <w:jc w:val="left"/>
        <w:rPr/>
      </w:pPr>
      <w:r>
        <w:rPr/>
      </w:r>
    </w:p>
    <w:p>
      <w:pPr>
        <w:pStyle w:val="PreformattedText"/>
        <w:bidi w:val="0"/>
        <w:spacing w:before="0" w:after="0"/>
        <w:jc w:val="left"/>
        <w:rPr/>
      </w:pPr>
      <w:r>
        <w:rPr/>
        <w:t>NOTICE: This opinion is subject to formal revision before publication in the</w:t>
      </w:r>
    </w:p>
    <w:p>
      <w:pPr>
        <w:pStyle w:val="PreformattedText"/>
        <w:bidi w:val="0"/>
        <w:spacing w:before="0" w:after="0"/>
        <w:jc w:val="left"/>
        <w:rPr/>
      </w:pPr>
      <w:r>
        <w:rPr/>
      </w:r>
    </w:p>
    <w:p>
      <w:pPr>
        <w:pStyle w:val="PreformattedText"/>
        <w:bidi w:val="0"/>
        <w:spacing w:before="0" w:after="0"/>
        <w:jc w:val="left"/>
        <w:rPr/>
      </w:pPr>
      <w:r>
        <w:rPr/>
        <w:t>United States Reports. Readers are requested to notify the Reporter of  Decisions, Supreme Court of the United States, Washington, D. C. 20543,  pio@supremecourt.gov, of any typographical or other formal errors.</w:t>
      </w:r>
    </w:p>
    <w:p>
      <w:pPr>
        <w:pStyle w:val="PreformattedText"/>
        <w:bidi w:val="0"/>
        <w:spacing w:before="0" w:after="0"/>
        <w:jc w:val="left"/>
        <w:rPr/>
      </w:pPr>
      <w:r>
        <w:rPr/>
      </w:r>
    </w:p>
    <w:p>
      <w:pPr>
        <w:pStyle w:val="PreformattedText"/>
        <w:bidi w:val="0"/>
        <w:spacing w:before="0" w:after="0"/>
        <w:jc w:val="left"/>
        <w:rPr/>
      </w:pPr>
      <w:r>
        <w:rPr/>
        <w:t>SUPREME COURT OF THE UNITED STATES  _________________</w:t>
      </w:r>
    </w:p>
    <w:p>
      <w:pPr>
        <w:pStyle w:val="PreformattedText"/>
        <w:bidi w:val="0"/>
        <w:spacing w:before="0" w:after="0"/>
        <w:jc w:val="left"/>
        <w:rPr/>
      </w:pPr>
      <w:r>
        <w:rPr/>
      </w:r>
    </w:p>
    <w:p>
      <w:pPr>
        <w:pStyle w:val="PreformattedText"/>
        <w:bidi w:val="0"/>
        <w:spacing w:before="0" w:after="0"/>
        <w:jc w:val="left"/>
        <w:rPr/>
      </w:pPr>
      <w:r>
        <w:rPr/>
        <w:t>No. 21–476</w:t>
      </w:r>
    </w:p>
    <w:p>
      <w:pPr>
        <w:pStyle w:val="PreformattedText"/>
        <w:bidi w:val="0"/>
        <w:spacing w:before="0" w:after="0"/>
        <w:jc w:val="left"/>
        <w:rPr/>
      </w:pPr>
      <w:r>
        <w:rPr/>
      </w:r>
    </w:p>
    <w:p>
      <w:pPr>
        <w:pStyle w:val="PreformattedText"/>
        <w:bidi w:val="0"/>
        <w:spacing w:before="0" w:after="0"/>
        <w:jc w:val="left"/>
        <w:rPr/>
      </w:pPr>
      <w:r>
        <w:rPr/>
        <w:t>_________________</w:t>
      </w:r>
    </w:p>
    <w:p>
      <w:pPr>
        <w:pStyle w:val="PreformattedText"/>
        <w:bidi w:val="0"/>
        <w:spacing w:before="0" w:after="0"/>
        <w:jc w:val="left"/>
        <w:rPr/>
      </w:pPr>
      <w:r>
        <w:rPr/>
      </w:r>
    </w:p>
    <w:p>
      <w:pPr>
        <w:pStyle w:val="PreformattedText"/>
        <w:bidi w:val="0"/>
        <w:spacing w:before="0" w:after="0"/>
        <w:jc w:val="left"/>
        <w:rPr/>
      </w:pPr>
      <w:r>
        <w:rPr/>
        <w:t>303 CREATIVE LLC, ET AL., PETITIONERS v.  AUBREY ELENIS, ET AL.</w:t>
      </w:r>
    </w:p>
    <w:p>
      <w:pPr>
        <w:pStyle w:val="PreformattedText"/>
        <w:bidi w:val="0"/>
        <w:spacing w:before="0" w:after="0"/>
        <w:jc w:val="left"/>
        <w:rPr/>
      </w:pPr>
      <w:r>
        <w:rPr/>
      </w:r>
    </w:p>
    <w:p>
      <w:pPr>
        <w:pStyle w:val="PreformattedText"/>
        <w:bidi w:val="0"/>
        <w:spacing w:before="0" w:after="0"/>
        <w:jc w:val="left"/>
        <w:rPr/>
      </w:pPr>
      <w:r>
        <w:rPr/>
        <w:t>ON WRIT OF CERTIORARI TO THE UNITED STATES COURT OF  APPEALS FOR THE TENTH CIRCUIT</w:t>
      </w:r>
    </w:p>
    <w:p>
      <w:pPr>
        <w:pStyle w:val="PreformattedText"/>
        <w:bidi w:val="0"/>
        <w:spacing w:before="0" w:after="0"/>
        <w:jc w:val="left"/>
        <w:rPr/>
      </w:pPr>
      <w:r>
        <w:rPr/>
      </w:r>
    </w:p>
    <w:p>
      <w:pPr>
        <w:pStyle w:val="PreformattedText"/>
        <w:bidi w:val="0"/>
        <w:spacing w:before="0" w:after="0"/>
        <w:jc w:val="left"/>
        <w:rPr/>
      </w:pPr>
      <w:r>
        <w:rPr/>
        <w:t>[June 30, 2023]</w:t>
      </w:r>
    </w:p>
    <w:p>
      <w:pPr>
        <w:pStyle w:val="PreformattedText"/>
        <w:bidi w:val="0"/>
        <w:spacing w:before="0" w:after="0"/>
        <w:jc w:val="left"/>
        <w:rPr/>
      </w:pPr>
      <w:r>
        <w:rPr/>
      </w:r>
    </w:p>
    <w:p>
      <w:pPr>
        <w:pStyle w:val="PreformattedText"/>
        <w:bidi w:val="0"/>
        <w:spacing w:before="0" w:after="0"/>
        <w:jc w:val="left"/>
        <w:rPr/>
      </w:pPr>
      <w:r>
        <w:rPr/>
        <w:t>JUSTICE GORSUCH delivered the opinion of the Court.  Like many States, Colorado has a law forbidding businesses from engaging in discrimination when they sell  goods and services to the public. Laws along these lines  have done much to secure the civil rights of all Americans.  But in this particular case Colorado does not just seek to ensure the sale of goods or services on equal terms. It seeks  to use its law to compel an individual to create speech she  does not believe. The question we face is whether that  course violates the Free Speech Clause of the First Amendment.</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A</w:t>
      </w:r>
    </w:p>
    <w:p>
      <w:pPr>
        <w:pStyle w:val="PreformattedText"/>
        <w:bidi w:val="0"/>
        <w:spacing w:before="0" w:after="0"/>
        <w:jc w:val="left"/>
        <w:rPr/>
      </w:pPr>
      <w:r>
        <w:rPr/>
      </w:r>
    </w:p>
    <w:p>
      <w:pPr>
        <w:pStyle w:val="PreformattedText"/>
        <w:bidi w:val="0"/>
        <w:spacing w:before="0" w:after="0"/>
        <w:jc w:val="left"/>
        <w:rPr/>
      </w:pPr>
      <w:r>
        <w:rPr/>
        <w:t>Through her business, 303 Creative LLC, Lorie Smith offers website and graphic design, marketing advice, and social media management services. Recently, she decided to  expand her offerings to include services for couples seeking  websites for their weddings. As she envisions it, her web sites will provide couples with text, graphic arts, and videos  to “celebrate” and “convey” the “details” of their “unique love story.” App. to Pet. for Cert. 182a, 187a, 198a. The websites will discuss how the couple met, explain their  backgrounds, families, and future plans, and provide information about their upcoming wedding. All of the text and  graphics on these websites will be “original,” “customized,”  and “tailored” creations. Id., at 187a. The websites will be  “expressive in nature,” designed “to communicate a particular message.” Id., at 181a. Viewers will know, too, “that  the websites are [Ms. Smith’s] original artwork,” for the name of the company she owns and operates by herself will be displayed on every one. Id., at 187a.</w:t>
      </w:r>
    </w:p>
    <w:p>
      <w:pPr>
        <w:pStyle w:val="PreformattedText"/>
        <w:bidi w:val="0"/>
        <w:spacing w:before="0" w:after="0"/>
        <w:jc w:val="left"/>
        <w:rPr/>
      </w:pPr>
      <w:r>
        <w:rPr/>
      </w:r>
    </w:p>
    <w:p>
      <w:pPr>
        <w:pStyle w:val="PreformattedText"/>
        <w:bidi w:val="0"/>
        <w:spacing w:before="0" w:after="0"/>
        <w:jc w:val="left"/>
        <w:rPr/>
      </w:pPr>
      <w:r>
        <w:rPr/>
        <w:t>B</w:t>
      </w:r>
    </w:p>
    <w:p>
      <w:pPr>
        <w:pStyle w:val="PreformattedText"/>
        <w:bidi w:val="0"/>
        <w:spacing w:before="0" w:after="0"/>
        <w:jc w:val="left"/>
        <w:rPr/>
      </w:pPr>
      <w:r>
        <w:rPr/>
      </w:r>
    </w:p>
    <w:p>
      <w:pPr>
        <w:pStyle w:val="PreformattedText"/>
        <w:bidi w:val="0"/>
        <w:spacing w:before="0" w:after="0"/>
        <w:jc w:val="left"/>
        <w:rPr/>
      </w:pPr>
      <w:r>
        <w:rPr/>
        <w:t>To clarify her rights, Ms. Smith filed a lawsuit in federal district court. In that suit, she sought an injunction to prevent the State from forcing her to create wedding websites celebrating marriages that defy her beliefs. App. 303–305. To secure relief, Ms. Smith first had to establish her standing to sue. That required her to show “a credible threat” existed that Colorado would, in fact, seek to compel speech  from her that she did not wish to produce. Susan B. An thony List v. Driehaus, 573 U. S. 149, 159 (2014).</w:t>
      </w:r>
    </w:p>
    <w:p>
      <w:pPr>
        <w:pStyle w:val="PreformattedText"/>
        <w:bidi w:val="0"/>
        <w:spacing w:before="0" w:after="0"/>
        <w:jc w:val="left"/>
        <w:rPr/>
      </w:pPr>
      <w:r>
        <w:rPr/>
      </w:r>
    </w:p>
    <w:p>
      <w:pPr>
        <w:pStyle w:val="PreformattedText"/>
        <w:bidi w:val="0"/>
        <w:spacing w:before="0" w:after="0"/>
        <w:jc w:val="left"/>
        <w:rPr/>
      </w:pPr>
      <w:r>
        <w:rPr/>
        <w:t>Toward that end, Ms. Smith began by directing the court to the Colorado Anti-Discrimination Act (CADA). That law  defines a “public accommodation” broadly to include almost every public-facing business in the State. Colo. Rev. Stat.  §24–34–601(1) (2022). In what some call its “Accommodation Clause,” the law prohibits a public accommodation  from denying “the full and equal enjoyment” of its goods and  services to any customer based on his race, creed, disability, sexual orientation, or other statutorily enumerated trait.  §24–34–601(2)(a). Either state officials or private citizens may bring actions to enforce the law. §§24–34–306, 24–34–  602(1). And a variety of penalties can follow. Courts can  order fines up to $500 per violation. §24–34–602(1)(a). The  Colorado Commission on Civil Rights can issue cease-and desist orders, §24–34–306(9), and require violators to take various other “affirmative action[s].” §24–34–605; §24–34–  306(9). In the past, these have included participation in mandatory educational programs and the submission of on going compliance reports to state officials. See Masterpiece Cakeshop, Ltd. v. Colorado Civil Rights Comm’n, 584 U. S.  ___, ___ (2018) (slip op., at 8).1</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jc w:val="left"/>
        <w:rPr/>
      </w:pPr>
      <w:r>
        <w:rPr/>
        <w:t>1 In addition to the Accommodation Clause, CADA contains a “Communication Clause” that prohibits a public accommodation from “publish[ing] . . . any written . . . communication” indicating that a person will be denied “the full and equal enjoyment” of services or that he will be  “unwelcome, objectionable, unacceptable, or undesirable” based on a pro-</w:t>
      </w:r>
    </w:p>
    <w:p>
      <w:pPr>
        <w:pStyle w:val="PreformattedText"/>
        <w:bidi w:val="0"/>
        <w:jc w:val="left"/>
        <w:rPr/>
      </w:pPr>
      <w:r>
        <w:rPr/>
      </w:r>
    </w:p>
    <w:p>
      <w:pPr>
        <w:pStyle w:val="PreformattedText"/>
        <w:bidi w:val="0"/>
        <w:spacing w:before="0" w:after="0"/>
        <w:jc w:val="left"/>
        <w:rPr/>
      </w:pPr>
      <w:r>
        <w:rPr/>
        <w:t>In her lawsuit, Ms. Smith alleged that, if she enters the wedding website business to celebrate marriages she does endorse, she faces a credible threat that Colorado will seek  to use CADA to compel her to create websites celebrating marriages she does not endorse. 6 F. 4th 1160, 1173–1174  (CA10 2021). As evidence, Ms. Smith pointed to Colorado’s record of past enforcement actions under CADA, including  one that worked its way to this Court five years ago. See  Masterpiece Cakeshop, 584 U. S., at ___ (slip op., at 9); see also App. 25–155 (discussing Colorado’s other past enforce ment actions).</w:t>
      </w:r>
    </w:p>
    <w:p>
      <w:pPr>
        <w:pStyle w:val="PreformattedText"/>
        <w:bidi w:val="0"/>
        <w:spacing w:before="0" w:after="0"/>
        <w:jc w:val="left"/>
        <w:rPr/>
      </w:pPr>
      <w:r>
        <w:rPr/>
      </w:r>
    </w:p>
    <w:p>
      <w:pPr>
        <w:pStyle w:val="PreformattedText"/>
        <w:bidi w:val="0"/>
        <w:spacing w:before="0" w:after="0"/>
        <w:jc w:val="left"/>
        <w:rPr/>
      </w:pPr>
      <w:r>
        <w:rPr/>
        <w:t>To facilitate the district court’s resolution of the merits of  her case, Ms. Smith and the State stipulated to a number  of facts:</w:t>
      </w:r>
    </w:p>
    <w:p>
      <w:pPr>
        <w:pStyle w:val="PreformattedText"/>
        <w:bidi w:val="0"/>
        <w:spacing w:before="0" w:after="0"/>
        <w:jc w:val="left"/>
        <w:rPr/>
      </w:pPr>
      <w:r>
        <w:rPr/>
      </w:r>
    </w:p>
    <w:p>
      <w:pPr>
        <w:pStyle w:val="PreformattedText"/>
        <w:bidi w:val="0"/>
        <w:spacing w:before="0" w:after="0"/>
        <w:jc w:val="left"/>
        <w:rPr/>
      </w:pPr>
      <w:r>
        <w:rPr/>
        <w:t xml:space="preserve">∙ </w:t>
      </w:r>
      <w:r>
        <w:rPr/>
        <w:t>Ms. Smith is “willing to work with all people regard less of classifications such as race, creed, sexual orientation, and gender,” and she “will gladly create  custom graphics and websites” for clients of any sexual orientation. App. to Pet. for Cert. 184a.</w:t>
      </w:r>
    </w:p>
    <w:p>
      <w:pPr>
        <w:pStyle w:val="PreformattedText"/>
        <w:bidi w:val="0"/>
        <w:spacing w:before="0" w:after="0"/>
        <w:jc w:val="left"/>
        <w:rPr/>
      </w:pPr>
      <w:r>
        <w:rPr/>
      </w:r>
    </w:p>
    <w:p>
      <w:pPr>
        <w:pStyle w:val="PreformattedText"/>
        <w:bidi w:val="0"/>
        <w:spacing w:before="0" w:after="0"/>
        <w:jc w:val="left"/>
        <w:rPr/>
      </w:pPr>
      <w:r>
        <w:rPr/>
        <w:t xml:space="preserve">∙ </w:t>
      </w:r>
      <w:r>
        <w:rPr/>
        <w:t>She will not produce content that “contradicts biblical truth” regardless of who orders it. Ibid.</w:t>
      </w:r>
    </w:p>
    <w:p>
      <w:pPr>
        <w:pStyle w:val="PreformattedText"/>
        <w:bidi w:val="0"/>
        <w:spacing w:before="0" w:after="0"/>
        <w:jc w:val="left"/>
        <w:rPr/>
      </w:pPr>
      <w:r>
        <w:rPr/>
      </w:r>
    </w:p>
    <w:p>
      <w:pPr>
        <w:pStyle w:val="PreformattedText"/>
        <w:bidi w:val="0"/>
        <w:spacing w:before="0" w:after="0"/>
        <w:jc w:val="left"/>
        <w:rPr/>
      </w:pPr>
      <w:r>
        <w:rPr/>
        <w:t xml:space="preserve">∙ </w:t>
      </w:r>
      <w:r>
        <w:rPr/>
        <w:t>Her belief that marriage is a union between one man and one woman is a sincerely held religious conviction. Id., at 179a.</w:t>
      </w:r>
    </w:p>
    <w:p>
      <w:pPr>
        <w:pStyle w:val="PreformattedText"/>
        <w:bidi w:val="0"/>
        <w:spacing w:before="0" w:after="0"/>
        <w:jc w:val="left"/>
        <w:rPr/>
      </w:pPr>
      <w:r>
        <w:rPr/>
      </w:r>
    </w:p>
    <w:p>
      <w:pPr>
        <w:pStyle w:val="PreformattedText"/>
        <w:bidi w:val="0"/>
        <w:spacing w:before="0" w:after="0"/>
        <w:jc w:val="left"/>
        <w:rPr/>
      </w:pPr>
      <w:r>
        <w:rPr/>
        <w:t xml:space="preserve">∙ </w:t>
      </w:r>
      <w:r>
        <w:rPr/>
        <w:t>All of the graphic and website design services Ms. Smith provides are “expressive.” Id., at 181a.  ∙ The websites and graphics Ms. Smith designs are “original, customized” creations that “contribute to  the overall messages” her business conveys “through  the websites” it creates tected classification. Colo. Rev. Stat. §24–34–601(2)(a) (2022). The Communication Clause, Ms. Smith notes, prohibits any speech inconsistent  with the Accommodation Clause. Because Colorado concedes that its authority to apply the Communication Clause to Ms. Smith stands or falls with its authority to apply the Accommodation Clause, see Brief for Respondents 44–45, we focus our attention on the Accommodation Clause.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Just like the other services she provides, the wed ding websites Ms. Smith plans to create “will be expressive in nature.” Id., at 187a.</w:t>
      </w:r>
    </w:p>
    <w:p>
      <w:pPr>
        <w:pStyle w:val="PreformattedText"/>
        <w:bidi w:val="0"/>
        <w:spacing w:before="0" w:after="0"/>
        <w:jc w:val="left"/>
        <w:rPr/>
      </w:pPr>
      <w:r>
        <w:rPr/>
      </w:r>
    </w:p>
    <w:p>
      <w:pPr>
        <w:pStyle w:val="PreformattedText"/>
        <w:bidi w:val="0"/>
        <w:spacing w:before="0" w:after="0"/>
        <w:jc w:val="left"/>
        <w:rPr/>
      </w:pPr>
      <w:r>
        <w:rPr/>
        <w:t xml:space="preserve">∙ </w:t>
      </w:r>
      <w:r>
        <w:rPr/>
        <w:t>Those wedding websites will be “customized and tailored” through close collaboration with individual  couples, and they will “express Ms. Smith’s and 303  Creative’s message celebrating and promoting” her view of marriage. Id., at 186a–187a.</w:t>
      </w:r>
    </w:p>
    <w:p>
      <w:pPr>
        <w:pStyle w:val="PreformattedText"/>
        <w:bidi w:val="0"/>
        <w:spacing w:before="0" w:after="0"/>
        <w:jc w:val="left"/>
        <w:rPr/>
      </w:pPr>
      <w:r>
        <w:rPr/>
      </w:r>
    </w:p>
    <w:p>
      <w:pPr>
        <w:pStyle w:val="PreformattedText"/>
        <w:bidi w:val="0"/>
        <w:spacing w:before="0" w:after="0"/>
        <w:jc w:val="left"/>
        <w:rPr/>
      </w:pPr>
      <w:r>
        <w:rPr/>
        <w:t xml:space="preserve">∙ </w:t>
      </w:r>
      <w:r>
        <w:rPr/>
        <w:t>Viewers of Ms. Smith’s websites “will know that the  websites are [Ms. Smith’s and 303 Creative’s] original artwork.” Id., at 187a.</w:t>
      </w:r>
    </w:p>
    <w:p>
      <w:pPr>
        <w:pStyle w:val="PreformattedText"/>
        <w:bidi w:val="0"/>
        <w:spacing w:before="0" w:after="0"/>
        <w:jc w:val="left"/>
        <w:rPr/>
      </w:pPr>
      <w:r>
        <w:rPr/>
      </w:r>
    </w:p>
    <w:p>
      <w:pPr>
        <w:pStyle w:val="PreformattedText"/>
        <w:bidi w:val="0"/>
        <w:spacing w:before="0" w:after="0"/>
        <w:jc w:val="left"/>
        <w:rPr/>
      </w:pPr>
      <w:r>
        <w:rPr/>
        <w:t xml:space="preserve">∙ </w:t>
      </w:r>
      <w:r>
        <w:rPr/>
        <w:t>To the extent Ms. Smith may not be able to provide certain services to a potential customer, “[t]here are  numerous companies in the State of Colorado and across the nation that offer custom website design services.” Id., at 190a.</w:t>
      </w:r>
    </w:p>
    <w:p>
      <w:pPr>
        <w:pStyle w:val="PreformattedText"/>
        <w:bidi w:val="0"/>
        <w:spacing w:before="0" w:after="0"/>
        <w:jc w:val="left"/>
        <w:rPr/>
      </w:pPr>
      <w:r>
        <w:rPr/>
      </w:r>
    </w:p>
    <w:p>
      <w:pPr>
        <w:pStyle w:val="PreformattedText"/>
        <w:bidi w:val="0"/>
        <w:spacing w:before="0" w:after="0"/>
        <w:jc w:val="left"/>
        <w:rPr/>
      </w:pPr>
      <w:r>
        <w:rPr/>
        <w:t>C</w:t>
      </w:r>
    </w:p>
    <w:p>
      <w:pPr>
        <w:pStyle w:val="PreformattedText"/>
        <w:bidi w:val="0"/>
        <w:spacing w:before="0" w:after="0"/>
        <w:jc w:val="left"/>
        <w:rPr/>
      </w:pPr>
      <w:r>
        <w:rPr/>
      </w:r>
    </w:p>
    <w:p>
      <w:pPr>
        <w:pStyle w:val="PreformattedText"/>
        <w:bidi w:val="0"/>
        <w:spacing w:before="0" w:after="0"/>
        <w:jc w:val="left"/>
        <w:rPr/>
      </w:pPr>
      <w:r>
        <w:rPr/>
        <w:t>Ultimately, the district court ruled against Ms. Smith.</w:t>
      </w:r>
    </w:p>
    <w:p>
      <w:pPr>
        <w:pStyle w:val="PreformattedText"/>
        <w:bidi w:val="0"/>
        <w:spacing w:before="0" w:after="0"/>
        <w:jc w:val="left"/>
        <w:rPr/>
      </w:pPr>
      <w:r>
        <w:rPr/>
      </w:r>
    </w:p>
    <w:p>
      <w:pPr>
        <w:pStyle w:val="PreformattedText"/>
        <w:bidi w:val="0"/>
        <w:spacing w:before="0" w:after="0"/>
        <w:jc w:val="left"/>
        <w:rPr/>
      </w:pPr>
      <w:r>
        <w:rPr/>
        <w:t>405 F. Supp. 3d 907, 912 (Colo. 2019). So did the Tenth  Circuit. 6 F. 4th, at 1168. For its part, the Tenth Circuit held that Ms. Smith had standing to sue. In that court’s  judgment, she had established a credible threat that, if she  follows through on her plans to offer wedding website ser vices, Colorado will invoke CADA to force her to create  speech she does not believe or endorse. Id., at 1172–1175.</w:t>
      </w:r>
    </w:p>
    <w:p>
      <w:pPr>
        <w:pStyle w:val="PreformattedText"/>
        <w:bidi w:val="0"/>
        <w:spacing w:before="0" w:after="0"/>
        <w:jc w:val="left"/>
        <w:rPr/>
      </w:pPr>
      <w:r>
        <w:rPr/>
      </w:r>
    </w:p>
    <w:p>
      <w:pPr>
        <w:pStyle w:val="PreformattedText"/>
        <w:bidi w:val="0"/>
        <w:spacing w:before="0" w:after="0"/>
        <w:jc w:val="left"/>
        <w:rPr/>
      </w:pPr>
      <w:r>
        <w:rPr/>
        <w:t>The court pointed to the fact that “Colorado has a history of  past enforcement against nearly identical conduct—i.e.,  Masterpiece Cakeshop”; that anyone in the State may file a complaint against Ms. Smith and initiate “a potentially  burdensome administrative hearing” process; and that  “Colorado [has] decline[d] to disavow future enforcement” proceedings against her. Id., at 1174. Before us, no party challenges these conclusions.</w:t>
      </w:r>
    </w:p>
    <w:p>
      <w:pPr>
        <w:pStyle w:val="PreformattedText"/>
        <w:bidi w:val="0"/>
        <w:spacing w:before="0" w:after="0"/>
        <w:jc w:val="left"/>
        <w:rPr/>
      </w:pPr>
      <w:r>
        <w:rPr/>
      </w:r>
    </w:p>
    <w:p>
      <w:pPr>
        <w:pStyle w:val="PreformattedText"/>
        <w:bidi w:val="0"/>
        <w:spacing w:before="0" w:after="0"/>
        <w:jc w:val="left"/>
        <w:rPr/>
      </w:pPr>
      <w:r>
        <w:rPr/>
        <w:t>Turning to the merits, however, the Tenth Circuit held that Ms. Smith was not entitled to the injunction she sought. The court acknowledged that Ms. Smith’s planned  wedding websites qualify as “pure speech” protected by the First Amendment. Id., at 1176. As a result, the court reasoned, Colorado had to satisfy “strict scrutiny” before compelling speech from her that she did not wish to create. Id.,  at 1178. Under that standard, the court continued, the  State had to show both that forcing Ms. Smith to create speech would serve a compelling governmental interest and  that no less restrictive alternative exists to secure that interest. Ibid. Ultimately, a divided panel concluded that the  State had carried these burdens. As the majority saw it, Colorado has a compelling interest in ensuring “equal ac cess to publicly available goods and services,” and no option  short of coercing speech from Ms. Smith can satisfy that interest because she plans to offer “unique services” that are,  “by definition, unavailable elsewhere.” Id., at 1179–1180  (internal quotation marks omitted).</w:t>
      </w:r>
    </w:p>
    <w:p>
      <w:pPr>
        <w:pStyle w:val="PreformattedText"/>
        <w:bidi w:val="0"/>
        <w:spacing w:before="0" w:after="0"/>
        <w:jc w:val="left"/>
        <w:rPr/>
      </w:pPr>
      <w:r>
        <w:rPr/>
      </w:r>
    </w:p>
    <w:p>
      <w:pPr>
        <w:pStyle w:val="PreformattedText"/>
        <w:bidi w:val="0"/>
        <w:spacing w:before="0" w:after="0"/>
        <w:jc w:val="left"/>
        <w:rPr/>
      </w:pPr>
      <w:r>
        <w:rPr/>
        <w:t>Chief Judge Tymkovich dissented. He observed that “ensuring access to a particular person’s” voice, expression, or artistic talent has never qualified as “a compelling state interest” under this Court’s precedents. Id., at 1203. Nor, he submitted, should courts depart from those precedents now.</w:t>
      </w:r>
    </w:p>
    <w:p>
      <w:pPr>
        <w:pStyle w:val="PreformattedText"/>
        <w:bidi w:val="0"/>
        <w:spacing w:before="0" w:after="0"/>
        <w:jc w:val="left"/>
        <w:rPr/>
      </w:pPr>
      <w:r>
        <w:rPr/>
      </w:r>
    </w:p>
    <w:p>
      <w:pPr>
        <w:pStyle w:val="PreformattedText"/>
        <w:bidi w:val="0"/>
        <w:spacing w:before="0" w:after="0"/>
        <w:jc w:val="left"/>
        <w:rPr/>
      </w:pPr>
      <w:r>
        <w:rPr/>
        <w:t>“</w:t>
      </w:r>
      <w:r>
        <w:rPr/>
        <w:t>Taken to its logical end,” Chief Judge Tymkovich warned,  his colleagues’ approach would permit the government to “regulate the messages communicated by all artists”—a result he called “unprecedented.” Id., at 1204.  We granted certiorari to review the Tenth Circuit’s disposition. 595 U. S. ___ (2022).</w:t>
      </w:r>
    </w:p>
    <w:p>
      <w:pPr>
        <w:pStyle w:val="PreformattedText"/>
        <w:bidi w:val="0"/>
        <w:spacing w:before="0" w:after="0"/>
        <w:jc w:val="left"/>
        <w:rPr/>
      </w:pPr>
      <w:r>
        <w:rPr/>
      </w:r>
    </w:p>
    <w:p>
      <w:pPr>
        <w:pStyle w:val="PreformattedText"/>
        <w:bidi w:val="0"/>
        <w:spacing w:before="0" w:after="0"/>
        <w:jc w:val="left"/>
        <w:rPr/>
      </w:pPr>
      <w:r>
        <w:rPr/>
        <w:t>II</w:t>
      </w:r>
    </w:p>
    <w:p>
      <w:pPr>
        <w:pStyle w:val="PreformattedText"/>
        <w:bidi w:val="0"/>
        <w:spacing w:before="0" w:after="0"/>
        <w:jc w:val="left"/>
        <w:rPr/>
      </w:pPr>
      <w:r>
        <w:rPr/>
      </w:r>
    </w:p>
    <w:p>
      <w:pPr>
        <w:pStyle w:val="PreformattedText"/>
        <w:bidi w:val="0"/>
        <w:spacing w:before="0" w:after="0"/>
        <w:jc w:val="left"/>
        <w:rPr/>
      </w:pPr>
      <w:r>
        <w:rPr/>
        <w:t>The framers designed the Free Speech Clause of the First  Amendment to protect the “freedom to think as you will and  to speak as you think.” Boy Scouts of America v. Dale, 530  U. S. 640, 660–661 (2000) (internal quotation marks omitted). They did so because they saw the freedom of speech  “both as an end and as a means.” Whitney v. California, 274 U. S. 357, 375 (1927) (Brandeis, J., concurring); see also 12 The Papers of James Madison 193–194 (C. Hobson &amp; R.  Rutland eds. 1979). An end because the freedom to think  and speak is among our inalienable human rights. See, e.g.,  4 Annals of Cong. 934 (1794) (Rep. Madison). A means be cause the freedom of thought and speech is “indispensable to the discovery and spread of political truth.” Whitney, 274  U. S., at 375 (Brandeis, J., concurring). By allowing all views to flourish, the framers understood, we may test and  improve our own thinking both as individuals and as a Na tion. For all these reasons, “[i]f there is any fixed star in our constitutional constellation,” West Virginia Bd. of Ed.  v. Barnette, 319 U. S. 624, 642 (1943), it is the principle that  the government may not interfere with “an uninhibited  marketplace of ideas,” McCullen v. Coakley, 573 U. S. 464,</w:t>
      </w:r>
    </w:p>
    <w:p>
      <w:pPr>
        <w:pStyle w:val="PreformattedText"/>
        <w:bidi w:val="0"/>
        <w:spacing w:before="0" w:after="0"/>
        <w:jc w:val="left"/>
        <w:rPr/>
      </w:pPr>
      <w:r>
        <w:rPr/>
      </w:r>
    </w:p>
    <w:p>
      <w:pPr>
        <w:pStyle w:val="PreformattedText"/>
        <w:bidi w:val="0"/>
        <w:spacing w:before="0" w:after="0"/>
        <w:jc w:val="left"/>
        <w:rPr/>
      </w:pPr>
      <w:r>
        <w:rPr/>
        <w:t>476 (2014) (internal quotation marks omitted). From time to time, governments in this country have sought to test these foundational principles. In Barnette,  for example, the Court faced an effort by the State of West  Virginia to force schoolchildren to salute the Nation’s flag and recite the Pledge of Allegiance. If the students refused,  the State threatened to expel them and fine or jail their parents. Some families objected on the ground that the State  sought to compel their children to express views at odds  with their faith as Jehovah’s Witnesses. When the dispute  arrived here, this Court offered a firm response. In seeking  to compel students to salute the flag and recite a pledge, the  Court held, state authorities had “transcend[ed] constitutional limitations on their powers.” 319 U. S., at 642. Their  dictates “invade[d] the sphere of intellect and spirit which  it is the purpose of the First Amendment . . . to reserve from  all official control.” Ibid.</w:t>
      </w:r>
    </w:p>
    <w:p>
      <w:pPr>
        <w:pStyle w:val="PreformattedText"/>
        <w:bidi w:val="0"/>
        <w:spacing w:before="0" w:after="0"/>
        <w:jc w:val="left"/>
        <w:rPr/>
      </w:pPr>
      <w:r>
        <w:rPr/>
      </w:r>
    </w:p>
    <w:p>
      <w:pPr>
        <w:pStyle w:val="PreformattedText"/>
        <w:bidi w:val="0"/>
        <w:spacing w:before="0" w:after="0"/>
        <w:jc w:val="left"/>
        <w:rPr/>
      </w:pPr>
      <w:r>
        <w:rPr/>
        <w:t>A similar story unfolded in Hurley v. Irish-American Gay,  Lesbian and Bisexual Group of Boston, Inc., 515 U. S. 557  (1995). There, veterans organizing a St. Patrick’s Day parade in Boston refused to include a group of gay, lesbian, and bisexual individuals in their event. The group argued  that Massachusetts’s public accommodations statute entitled it to participate in the parade as a matter of law. Id.,  at 560–561. Lower courts agreed. Id., at 561–566. But this  Court reversed. Id., at 581. Whatever state law may demand, this Court explained, the parade was constitution ally protected speech and requiring the veterans to include  voices they wished to exclude would impermissibly require  them to “alter the expressive content of their parade.” Id.,  at 572–573. The veterans’ choice of what to say (and not say) might have been unpopular, but they had a First  Amendment right to present their message undiluted by views they did not share.</w:t>
      </w:r>
    </w:p>
    <w:p>
      <w:pPr>
        <w:pStyle w:val="PreformattedText"/>
        <w:bidi w:val="0"/>
        <w:spacing w:before="0" w:after="0"/>
        <w:jc w:val="left"/>
        <w:rPr/>
      </w:pPr>
      <w:r>
        <w:rPr/>
      </w:r>
    </w:p>
    <w:p>
      <w:pPr>
        <w:pStyle w:val="PreformattedText"/>
        <w:bidi w:val="0"/>
        <w:spacing w:before="0" w:after="0"/>
        <w:jc w:val="left"/>
        <w:rPr/>
      </w:pPr>
      <w:r>
        <w:rPr/>
        <w:t>Then there is Boy Scouts of America v. Dale. In that case,  the Boy Scouts excluded James Dale, an assistant scout master, from membership after learning he was gay. Mr.  Dale argued that New Jersey’s public accommodations law required the Scouts to reinstate him. 530 U. S., at 644–645.  The New Jersey Supreme Court sided with Mr. Dale, id., at  646–647, but again this Court reversed, id., at 661. The  decision to exclude Mr. Dale may not have implicated pure speech, but this Court held that the Boy Scouts “is an expressive association” entitled to First Amendment protection. Id., at 656. And, the Court found, forcing the Scouts  to include Mr. Dale would “interfere with [its] choice not to propound a point of view contrary to its beliefs.” Id., at 654.  As these cases illustrate, the First Amendment protects an individual’s right to speak his mind regardless of whether the government considers his speech sensible and  well intentioned or deeply “misguided,” Hurley, 515 U. S.,  at 574, and likely to cause “anguish” or “incalculable grief,”  Snyder v. Phelps, 562 U. S. 443, 456 (2011). Equally, the  First Amendment protects acts of expressive association.  See, e.g., Dale, 530 U. S., at 647–656; Hurley, 515 U. S., at  568–570, 579. Generally, too, the government may not com pel a person to speak its own preferred messages. See Tinker v. Des Moines Independent Community School Dist.,  393 U. S. 503, 505–506 (1969); see also, e.g., Miami Herald  Publishing Co. v. Tornillo, 418 U. S. 241, 256 (1974); Wooley  v. Maynard, 430 U. S. 705, 714 (1977); National Institute of  Family and Life Advocates v. Becerra, 585 U. S. ___, ___  (2018) (NIFLA) (slip op., at 8). Nor does it matter whether  the government seeks to compel a person to speak its message when he would prefer to remain silent or to force an  individual to include other ideas with his own speech that  he would prefer not to include. See Hurley, 515 U. S., at  568–570, 576; see also Rumsfeld v. Forum for Academic &amp;  Institutional Rights, Inc., 547 U. S. 47, 63–64 (2006) (FAIR)</w:t>
      </w:r>
    </w:p>
    <w:p>
      <w:pPr>
        <w:pStyle w:val="PreformattedText"/>
        <w:bidi w:val="0"/>
        <w:spacing w:before="0" w:after="0"/>
        <w:jc w:val="left"/>
        <w:rPr/>
      </w:pPr>
      <w:r>
        <w:rPr/>
      </w:r>
    </w:p>
    <w:p>
      <w:pPr>
        <w:pStyle w:val="PreformattedText"/>
        <w:bidi w:val="0"/>
        <w:spacing w:before="0" w:after="0"/>
        <w:jc w:val="left"/>
        <w:rPr/>
      </w:pPr>
      <w:r>
        <w:rPr/>
        <w:t>(discussing cases). All that offends the First Amendment  just the same.</w:t>
      </w:r>
    </w:p>
    <w:p>
      <w:pPr>
        <w:pStyle w:val="PreformattedText"/>
        <w:bidi w:val="0"/>
        <w:spacing w:before="0" w:after="0"/>
        <w:jc w:val="left"/>
        <w:rPr/>
      </w:pPr>
      <w:r>
        <w:rPr/>
      </w:r>
    </w:p>
    <w:p>
      <w:pPr>
        <w:pStyle w:val="PreformattedText"/>
        <w:bidi w:val="0"/>
        <w:spacing w:before="0" w:after="0"/>
        <w:jc w:val="left"/>
        <w:rPr/>
      </w:pPr>
      <w:r>
        <w:rPr/>
        <w:t>III</w:t>
      </w:r>
    </w:p>
    <w:p>
      <w:pPr>
        <w:pStyle w:val="PreformattedText"/>
        <w:bidi w:val="0"/>
        <w:spacing w:before="0" w:after="0"/>
        <w:jc w:val="left"/>
        <w:rPr/>
      </w:pPr>
      <w:r>
        <w:rPr/>
      </w:r>
    </w:p>
    <w:p>
      <w:pPr>
        <w:pStyle w:val="PreformattedText"/>
        <w:bidi w:val="0"/>
        <w:spacing w:before="0" w:after="0"/>
        <w:jc w:val="left"/>
        <w:rPr/>
      </w:pPr>
      <w:r>
        <w:rPr/>
        <w:t>Applying these principles to this case, we align ourselves with much of the Tenth Circuit’s analysis. The Tenth Circuit held that the wedding websites Ms. Smith seeks to create qualify as “pure speech” under this Court’s precedents.</w:t>
      </w:r>
    </w:p>
    <w:p>
      <w:pPr>
        <w:pStyle w:val="PreformattedText"/>
        <w:bidi w:val="0"/>
        <w:spacing w:before="0" w:after="0"/>
        <w:jc w:val="left"/>
        <w:rPr/>
      </w:pPr>
      <w:r>
        <w:rPr/>
      </w:r>
    </w:p>
    <w:p>
      <w:pPr>
        <w:pStyle w:val="PreformattedText"/>
        <w:bidi w:val="0"/>
        <w:spacing w:before="0" w:after="0"/>
        <w:jc w:val="left"/>
        <w:rPr/>
      </w:pPr>
      <w:r>
        <w:rPr/>
        <w:t>6 F. 4th, at 1176. We agree. It is a conclusion that flows  directly from the parties’ stipulations. They have stipulated that Ms. Smith’s websites promise to contain “images,  words, symbols, and other modes of expression.” App. to  Pet. for Cert. 181a. They have stipulated that every website will be her “original, customized” creation. Id., at 181a–  182a. And they have stipulated that Ms. Smith will create  these websites to communicate ideas—namely, to “celebrate and promote the couple’s wedding and unique love  story” and to “celebrate and promote” what Ms. Smith understands to be a true marriage. Id., at 186a–187a.  A hundred years ago, Ms. Smith might have furnished  her services using pen and paper. Those services are no less  protected speech today because they are conveyed with a  “voice that resonates farther than it could from any soap box.” Reno v. American Civil Liberties Union, 521 U. S. 844, 870 (1997). All manner of speech—from “pictures, films,  paintings, drawings, and engravings,” to “oral utterance  and the printed word”—qualify for the First Amendment’s protections; no less can hold true when it comes to speech like Ms. Smith’s conveyed over the Internet. Kaplan v. California, 413 U. S. 115, 119–120 (1973); see also Shurtleff v.  Boston, 596 U. S. ___, ___–___ (2022) (slip op., at 7–8)  (flags); Brown v. Entertainment Merchants Assn., 564 U. S.  786, 790 (2011) (video games); Hurley, 515 U. S., at 568–  570 (parades); Ward v. Rock Against Racism, 491 U. S. 781,  790 (1989) (music); Joseph Burstyn, Inc. v. Wilson, 343 U. S.  495, 501–502 (1952) (movies).</w:t>
      </w:r>
    </w:p>
    <w:p>
      <w:pPr>
        <w:pStyle w:val="PreformattedText"/>
        <w:bidi w:val="0"/>
        <w:spacing w:before="0" w:after="0"/>
        <w:jc w:val="left"/>
        <w:rPr/>
      </w:pPr>
      <w:r>
        <w:rPr/>
      </w:r>
    </w:p>
    <w:p>
      <w:pPr>
        <w:pStyle w:val="PreformattedText"/>
        <w:bidi w:val="0"/>
        <w:spacing w:before="0" w:after="0"/>
        <w:jc w:val="left"/>
        <w:rPr/>
      </w:pPr>
      <w:r>
        <w:rPr/>
        <w:t>We further agree with the Tenth Circuit that the wedding websites Ms. Smith seeks to create involve her speech. 6  F. 4th, at 1181, and n. 5. Again, the parties’ stipulations lead the way to that conclusion. See App. to Pet. for Cert. 181a, 187a. As the parties have described it, Ms. Smith in tends to “vet” each prospective project to determine  whether it is one she is willing to endorse. Id., at 185a. She  will consult with clients to discuss “their unique stories as source material.” Id., at 186a. And she will produce a final story for each couple using her own words and her own  “original artwork.” Id., at 182a–183a. Of course, Ms.  Smith’s speech may combine with the couple’s in the final  product. But for purposes of the First Amendment that changes nothing. An individual “does not forfeit constitutional protection simply by combining multifarious voices”  in a single communication. Hurley, 515 U. S., at 569.</w:t>
      </w:r>
    </w:p>
    <w:p>
      <w:pPr>
        <w:pStyle w:val="PreformattedText"/>
        <w:bidi w:val="0"/>
        <w:spacing w:before="0" w:after="0"/>
        <w:jc w:val="left"/>
        <w:rPr/>
      </w:pPr>
      <w:r>
        <w:rPr/>
      </w:r>
    </w:p>
    <w:p>
      <w:pPr>
        <w:pStyle w:val="PreformattedText"/>
        <w:bidi w:val="0"/>
        <w:spacing w:before="0" w:after="0"/>
        <w:jc w:val="left"/>
        <w:rPr/>
      </w:pPr>
      <w:r>
        <w:rPr/>
        <w:t>As surely as Ms. Smith seeks to engage in protected First Amendment speech, Colorado seeks to compel speech Ms.  Smith does not wish to provide. As the Tenth Circuit ob served, if Ms. Smith offers wedding websites celebrating  marriages she endorses, the State intends to “force her to create custom websites” celebrating other marriages she  does not. 6 F. 4th, at 1178. Colorado seeks to compel this  speech in order to “excise certain ideas or viewpoints from the public dialogue.” Turner Broadcasting System, Inc. v.  FCC, 512 U. S. 633, 642 (1994). Indeed, the Tenth Circuit  recognized that the coercive “elimination” of dissenting “ideas” about marriage constitutes Colorado’s “very purpose” in seeking to apply its law to Ms. Smith. 6 F. 4th, at  1178.</w:t>
      </w:r>
    </w:p>
    <w:p>
      <w:pPr>
        <w:pStyle w:val="PreformattedText"/>
        <w:bidi w:val="0"/>
        <w:spacing w:before="0" w:after="0"/>
        <w:jc w:val="left"/>
        <w:rPr/>
      </w:pPr>
      <w:r>
        <w:rPr/>
      </w:r>
    </w:p>
    <w:p>
      <w:pPr>
        <w:pStyle w:val="PreformattedText"/>
        <w:bidi w:val="0"/>
        <w:spacing w:before="0" w:after="0"/>
        <w:jc w:val="left"/>
        <w:rPr/>
      </w:pPr>
      <w:r>
        <w:rPr/>
        <w:t>Consider what a contrary approach would mean. Under  Colorado’s logic, the government may compel anyone who speaks for pay on a given topic to accept all commissions on  that same topic—no matter the underlying message—if the topic somehow implicates a customer’s statutorily protected trait. 6 F. 4th, at 1198 (Tymkovich, C. J., dissenting).</w:t>
      </w:r>
    </w:p>
    <w:p>
      <w:pPr>
        <w:pStyle w:val="PreformattedText"/>
        <w:bidi w:val="0"/>
        <w:spacing w:before="0" w:after="0"/>
        <w:jc w:val="left"/>
        <w:rPr/>
      </w:pPr>
      <w:r>
        <w:rPr/>
      </w:r>
    </w:p>
    <w:p>
      <w:pPr>
        <w:pStyle w:val="PreformattedText"/>
        <w:bidi w:val="0"/>
        <w:spacing w:before="0" w:after="0"/>
        <w:jc w:val="left"/>
        <w:rPr/>
      </w:pPr>
      <w:r>
        <w:rPr/>
        <w:t>In saying this much, we do not question the vital role public accommodations laws play in realizing the civil rights of  all Americans. This Court has recognized that governments in this country have a “compelling interest” in eliminating discrimination in places of public accommodation.  Roberts v. United States Jaycees, 468 U. S. 609, 628 (1984);  see also Hurley, 515 U. S., at 571–572. This Court has recognized, too, that public accommodations laws “vindicate  the deprivation of personal dignity that surely accompanies denials of equal access to public establishments.” Heart of  Atlanta Motel, Inc. v. United States, 379 U. S. 241, 250  (1964) (internal quotation marks omitted); see also, e.g.,  Katzenbach v. McClung, 379 U. S. 294 (1964); Newman v.</w:t>
      </w:r>
    </w:p>
    <w:p>
      <w:pPr>
        <w:pStyle w:val="PreformattedText"/>
        <w:bidi w:val="0"/>
        <w:spacing w:before="0" w:after="0"/>
        <w:jc w:val="left"/>
        <w:rPr/>
      </w:pPr>
      <w:r>
        <w:rPr/>
      </w:r>
    </w:p>
    <w:p>
      <w:pPr>
        <w:pStyle w:val="PreformattedText"/>
        <w:bidi w:val="0"/>
        <w:spacing w:before="0" w:after="0"/>
        <w:jc w:val="left"/>
        <w:rPr/>
      </w:pPr>
      <w:r>
        <w:rPr/>
        <w:t>Cite as: 600 U. S. ____ (2023) 13</w:t>
      </w:r>
    </w:p>
    <w:p>
      <w:pPr>
        <w:pStyle w:val="PreformattedText"/>
        <w:bidi w:val="0"/>
        <w:spacing w:before="0" w:after="0"/>
        <w:jc w:val="left"/>
        <w:rPr/>
      </w:pPr>
      <w:r>
        <w:rPr/>
      </w:r>
    </w:p>
    <w:p>
      <w:pPr>
        <w:pStyle w:val="PreformattedText"/>
        <w:bidi w:val="0"/>
        <w:spacing w:before="0" w:after="0"/>
        <w:jc w:val="left"/>
        <w:rPr/>
      </w:pPr>
      <w:r>
        <w:rPr/>
        <w:t>Opinion of the Court</w:t>
      </w:r>
    </w:p>
    <w:p>
      <w:pPr>
        <w:pStyle w:val="PreformattedText"/>
        <w:bidi w:val="0"/>
        <w:spacing w:before="0" w:after="0"/>
        <w:jc w:val="left"/>
        <w:rPr/>
      </w:pPr>
      <w:r>
        <w:rPr/>
      </w:r>
    </w:p>
    <w:p>
      <w:pPr>
        <w:pStyle w:val="PreformattedText"/>
        <w:bidi w:val="0"/>
        <w:spacing w:before="0" w:after="0"/>
        <w:jc w:val="left"/>
        <w:rPr/>
      </w:pPr>
      <w:r>
        <w:rPr/>
        <w:t>Piggie Park Enterprises, Inc., 390 U. S. 400 (1968) (per cu riam).</w:t>
      </w:r>
    </w:p>
    <w:p>
      <w:pPr>
        <w:pStyle w:val="PreformattedText"/>
        <w:bidi w:val="0"/>
        <w:spacing w:before="0" w:after="0"/>
        <w:jc w:val="left"/>
        <w:rPr/>
      </w:pPr>
      <w:r>
        <w:rPr/>
      </w:r>
    </w:p>
    <w:p>
      <w:pPr>
        <w:pStyle w:val="PreformattedText"/>
        <w:bidi w:val="0"/>
        <w:spacing w:before="0" w:after="0"/>
        <w:jc w:val="left"/>
        <w:rPr/>
      </w:pPr>
      <w:r>
        <w:rPr/>
        <w:t>Importantly, States have also expanded their laws to prohibit more forms of discrimination. Today, for example, approximately half the States have laws like Colorado’s that expressly prohibit discrimination on the basis of sexual orientation.2 And, as we have recognized, this is entirely “unexceptional.” Masterpiece Cakeshop, 584 U. S., at ___ (slip</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2Besides Colorado, this includes Cal. Civ. Code Ann. §51 (West 2020); Conn. Gen. Stat. §46a–81d (2021); Del. Code Ann., Tit. 6, §4504 (2019); Haw. Rev. Stat. §489–3 (Cum. Supp. 2021); Ill. Comp. Stat., ch. 775, §5/1–102 (West 2021); Iowa Code §216.7 (2022); Me. Rev. Stat. Ann.,</w:t>
      </w:r>
    </w:p>
    <w:p>
      <w:pPr>
        <w:pStyle w:val="PreformattedText"/>
        <w:bidi w:val="0"/>
        <w:spacing w:before="0" w:after="0"/>
        <w:jc w:val="left"/>
        <w:rPr/>
      </w:pPr>
      <w:r>
        <w:rPr/>
      </w:r>
    </w:p>
    <w:p>
      <w:pPr>
        <w:pStyle w:val="PreformattedText"/>
        <w:bidi w:val="0"/>
        <w:spacing w:before="0" w:after="0"/>
        <w:jc w:val="left"/>
        <w:rPr/>
      </w:pPr>
      <w:r>
        <w:rPr/>
        <w:t>Tit. 5, §4591 (2013); Md. State Govt. Code Ann. §20–304 (2021); Mass.  Gen. Laws, ch. 272, §98 (2021); Mich. Comp. Laws Ann. §37.2302 (West  2013); Minn. Stat. §363A.11 (2022); Nev. Rev. Stat. §651.070 (2017); N.  H. Rev. Stat. Ann. §354–A:17 (2022); N. J. Stat. Ann. §10:5–12 (West  2013); N. M. Stat. Ann. §28–1–7 (2022); N. Y. Exec. Law Ann. §291(2) op., at 10). States may “protect gay persons, just as [they]  can protect other classes of individuals, in acquiring what ever products and services they choose on the same terms  and conditions as are offered to other members of the public. And there are no doubt innumerable goods and services that no one could argue implicate the First Amendment.”  Ibid.; see also Hurley, 515 U. S., at 571–572; 6 F. 4th, at  1203 (Tymkovich, C. J., dissenting). Consistent with all of  this, Ms. Smith herself recognizes that Colorado and other States are generally free to apply their public accommodations laws, including their provisions protecting gay persons, to a vast array of businesses. Reply Brief 15; see Tr. of Oral Arg. 45–46.</w:t>
      </w:r>
    </w:p>
    <w:p>
      <w:pPr>
        <w:pStyle w:val="PreformattedText"/>
        <w:bidi w:val="0"/>
        <w:spacing w:before="0" w:after="0"/>
        <w:jc w:val="left"/>
        <w:rPr/>
      </w:pPr>
      <w:r>
        <w:rPr/>
      </w:r>
    </w:p>
    <w:p>
      <w:pPr>
        <w:pStyle w:val="PreformattedText"/>
        <w:bidi w:val="0"/>
        <w:spacing w:before="0" w:after="0"/>
        <w:jc w:val="left"/>
        <w:rPr/>
      </w:pPr>
      <w:r>
        <w:rPr/>
        <w:t>At the same time, this Court has also recognized that no public accommodations law is immune from the demands of  the Constitution. In particular, this Court has held, public  accommodations statutes can sweep too broadly when deployed to compel speech. In Hurley, the Court commented  favorably on Massachusetts’ public accommodations law, but made plain it could not be “applied to expressive activity” to compel speech. 515 U. S., at 571, 578. In Dale, the  Court observed that New Jersey’s public accommodations  law had many lawful applications but held that it could “not  justify such a severe intrusion on the Boy Scouts’ rights to  freedom of expressive association.” 530 U. S., at 659. And,  once more, what was true in those cases must hold true  here. When a state public accommodations law and the  Constitution collide, there can be no question which must prevail. U. S. Const., Art. VI, cl. 2.</w:t>
      </w:r>
    </w:p>
    <w:p>
      <w:pPr>
        <w:pStyle w:val="PreformattedText"/>
        <w:bidi w:val="0"/>
        <w:spacing w:before="0" w:after="0"/>
        <w:jc w:val="left"/>
        <w:rPr/>
      </w:pPr>
      <w:r>
        <w:rPr/>
      </w:r>
    </w:p>
    <w:p>
      <w:pPr>
        <w:pStyle w:val="PreformattedText"/>
        <w:bidi w:val="0"/>
        <w:spacing w:before="0" w:after="0"/>
        <w:jc w:val="left"/>
        <w:rPr/>
      </w:pPr>
      <w:r>
        <w:rPr/>
        <w:t>Nor is it any answer, as the Tenth Circuit seemed to sup pose, that Ms. Smith’s services are “unique.” 6 F. 4th, at (West 2019); Ore. Rev. Stat. §659A.403 (2021); R. I. Gen. Laws §11–24– 2 (2002); Vt. Stat. Ann., Tit. 9, §4502(a) (2020); Va. Code Ann. §2.2–3904  (2022); Wash. Rev. Code §49.60.215 (2022); Wis. Stat. §106.52 (2019–  2020). See also Brief for Local Governments et al. as Amici Curiae 5  (noting that many local governments have enacted similar rules).</w:t>
      </w:r>
    </w:p>
    <w:p>
      <w:pPr>
        <w:pStyle w:val="PreformattedText"/>
        <w:bidi w:val="0"/>
        <w:spacing w:before="0" w:after="0"/>
        <w:jc w:val="left"/>
        <w:rPr/>
      </w:pPr>
      <w:r>
        <w:rPr/>
      </w:r>
    </w:p>
    <w:p>
      <w:pPr>
        <w:pStyle w:val="PreformattedText"/>
        <w:bidi w:val="0"/>
        <w:spacing w:before="0" w:after="0"/>
        <w:jc w:val="left"/>
        <w:rPr/>
      </w:pPr>
      <w:r>
        <w:rPr/>
        <w:t>Cite as: 600 U. S. ____ (2023) 15</w:t>
      </w:r>
    </w:p>
    <w:p>
      <w:pPr>
        <w:pStyle w:val="PreformattedText"/>
        <w:bidi w:val="0"/>
        <w:spacing w:before="0" w:after="0"/>
        <w:jc w:val="left"/>
        <w:rPr/>
      </w:pPr>
      <w:r>
        <w:rPr/>
      </w:r>
    </w:p>
    <w:p>
      <w:pPr>
        <w:pStyle w:val="PreformattedText"/>
        <w:bidi w:val="0"/>
        <w:spacing w:before="0" w:after="0"/>
        <w:jc w:val="left"/>
        <w:rPr/>
      </w:pPr>
      <w:r>
        <w:rPr/>
        <w:t>Opinion of the Court</w:t>
      </w:r>
    </w:p>
    <w:p>
      <w:pPr>
        <w:pStyle w:val="PreformattedText"/>
        <w:bidi w:val="0"/>
        <w:spacing w:before="0" w:after="0"/>
        <w:jc w:val="left"/>
        <w:rPr/>
      </w:pPr>
      <w:r>
        <w:rPr/>
      </w:r>
    </w:p>
    <w:p>
      <w:pPr>
        <w:pStyle w:val="PreformattedText"/>
        <w:bidi w:val="0"/>
        <w:spacing w:before="0" w:after="0"/>
        <w:jc w:val="left"/>
        <w:rPr/>
      </w:pPr>
      <w:r>
        <w:rPr/>
        <w:t>1180. In some sense, of course, her voice is unique; so is  everyone’s. But that hardly means a State may coopt an individual’s voice for its own purposes. In Hurley, the veterans had an “enviable” outlet for speech; after all, their parade was a notable and singular event. 515 U. S., at 560,  577–578. In Dale, the Boy Scouts offered what some might consider a unique experience. 530 U. S., at 649–650. But  in both cases this Court held that the State could not use  its public accommodations statute to deny speakers the right “to choose the content of [their] own message[s].” Hurley, 515 U. S., at 573; see Dale, 530 U. S., at 650–656. Were  the rule otherwise, the better the artist, the finer the writer,  the more unique his talent, the more easily his voice could be conscripted to disseminate the government’s preferred  messages. That would not respect the First Amendment; more nearly, it would spell its demise.</w:t>
      </w:r>
    </w:p>
    <w:p>
      <w:pPr>
        <w:pStyle w:val="PreformattedText"/>
        <w:bidi w:val="0"/>
        <w:spacing w:before="0" w:after="0"/>
        <w:jc w:val="left"/>
        <w:rPr/>
      </w:pPr>
      <w:r>
        <w:rPr/>
      </w:r>
    </w:p>
    <w:p>
      <w:pPr>
        <w:pStyle w:val="PreformattedText"/>
        <w:bidi w:val="0"/>
        <w:spacing w:before="0" w:after="0"/>
        <w:jc w:val="left"/>
        <w:rPr/>
      </w:pPr>
      <w:r>
        <w:rPr/>
        <w:t>IV</w:t>
      </w:r>
    </w:p>
    <w:p>
      <w:pPr>
        <w:pStyle w:val="PreformattedText"/>
        <w:bidi w:val="0"/>
        <w:spacing w:before="0" w:after="0"/>
        <w:jc w:val="left"/>
        <w:rPr/>
      </w:pPr>
      <w:r>
        <w:rPr/>
      </w:r>
    </w:p>
    <w:p>
      <w:pPr>
        <w:pStyle w:val="PreformattedText"/>
        <w:bidi w:val="0"/>
        <w:spacing w:before="0" w:after="0"/>
        <w:jc w:val="left"/>
        <w:rPr/>
      </w:pPr>
      <w:r>
        <w:rPr/>
        <w:t>Before us, Colorado appears to distance itself from the Tenth Circuit’s reasoning. Now, the State seems to  acknowledge that the First Amendment does forbid it from  coercing Ms. Smith to create websites endorsing same-sex marriage or expressing any other message with which she  disagrees. See Brief for Respondents 12 (disclaiming any  interest in “interfering with [Ms. Smith’s] choice to offer only websites of [her] own design”); see also Brief for United States as Amicus Curiae 19 (conceding that “constitutional concerns” would arise if Colorado “require[d] petitione</w:t>
      </w:r>
      <w:r>
        <w:rPr/>
        <w:t>r</w:t>
      </w:r>
      <w:r>
        <w:rPr/>
        <w:t xml:space="preserve"> to design a website” that she “would not create or convey for any client”). Instead, Colorado devotes most of its efforts to  advancing an alternative theory for affirmance.</w:t>
      </w:r>
    </w:p>
    <w:p>
      <w:pPr>
        <w:pStyle w:val="PreformattedText"/>
        <w:bidi w:val="0"/>
        <w:spacing w:before="0" w:after="0"/>
        <w:jc w:val="left"/>
        <w:rPr/>
      </w:pPr>
      <w:r>
        <w:rPr/>
      </w:r>
    </w:p>
    <w:p>
      <w:pPr>
        <w:pStyle w:val="PreformattedText"/>
        <w:bidi w:val="0"/>
        <w:spacing w:before="0" w:after="0"/>
        <w:jc w:val="left"/>
        <w:rPr/>
      </w:pPr>
      <w:r>
        <w:rPr/>
        <w:t>The State’s alternative theory runs this way. To comply with Colorado law, the State says, all Ms. Smith must do is repurpose websites she will create to celebrate marriages she does endorse for marriages she does not. She sells a product to some, the State reasons, so she must sell the same product to all. Brief for Respondents 15, 20. At bot tom, Colorado’s theory rests on a belief that the Tenth Cir cuit erred at the outset when it said this case implicates  pure speech. Id., at 19. Instead, Colorado says, this case  involves only the sale of an ordinary commercial product  and any burden on Ms. Smith’s speech is purely “incidental.” Id., at 18, 25–28; see Tr. of Oral Arg. 65, 97–98.  On the State’s telling, then, speech more or less vanishes from the picture—and, with it, any need for First Amendment scrutiny. In places, the dissent seems to advance the same line of argument. Post, at 29 (opinion of SOTOMAYOR,  J.).</w:t>
      </w:r>
    </w:p>
    <w:p>
      <w:pPr>
        <w:pStyle w:val="PreformattedText"/>
        <w:bidi w:val="0"/>
        <w:spacing w:before="0" w:after="0"/>
        <w:jc w:val="left"/>
        <w:rPr/>
      </w:pPr>
      <w:r>
        <w:rPr/>
      </w:r>
    </w:p>
    <w:p>
      <w:pPr>
        <w:pStyle w:val="PreformattedText"/>
        <w:bidi w:val="0"/>
        <w:spacing w:before="0" w:after="0"/>
        <w:jc w:val="left"/>
        <w:rPr/>
      </w:pPr>
      <w:r>
        <w:rPr/>
        <w:t>This alternative theory, however, is difficult to square  with the parties’ stipulations. As we have seen, the State  has stipulated that Ms. Smith does not seek to sell an ordinary commercial good but intends to create “customized  and tailored” speech for each couple. App. to Pet. for Cert.  181a, 187a. The State has stipulated that “each website  303 Creative designs and creates is an original, customized  creation for each client.” Id., at 181a. The State has stipulated, too, that Ms. Smith’s wedding websites “will be expressive in nature, using text, graphics, and in some cases  videos to celebrate and promote the couple’s wedding and unique love story.” Id., at 187a. As the case comes to us,  then, Colorado seeks to compel just the sort of speech that  it tacitly concedes lies beyond the reach of its powers.</w:t>
      </w:r>
    </w:p>
    <w:p>
      <w:pPr>
        <w:pStyle w:val="PreformattedText"/>
        <w:bidi w:val="0"/>
        <w:spacing w:before="0" w:after="0"/>
        <w:jc w:val="left"/>
        <w:rPr/>
      </w:pPr>
      <w:r>
        <w:rPr/>
      </w:r>
    </w:p>
    <w:p>
      <w:pPr>
        <w:pStyle w:val="PreformattedText"/>
        <w:bidi w:val="0"/>
        <w:spacing w:before="0" w:after="0"/>
        <w:jc w:val="left"/>
        <w:rPr/>
      </w:pPr>
      <w:r>
        <w:rPr/>
        <w:t>Of course, as the State emphasizes, Ms. Smith offers her  speech for pay and does so through 303 Creative LLC, a  company in which she is “the sole member-owner.” Id., at  181a; see also post, at 33 (opinion of SOTOMAYOR, J.) (emphasizing Ms. Smith’s “commercial” activity). But none of  that makes a difference. Does anyone think a speechwriter loses his First Amendment right to choose for whom he  works if he accepts money in return? Or that a visual artist  who accepts commissions from the public does the same? Many of the world’s great works of literature and art were created with an expectation of compensation. Nor, this  Court has held, do speakers shed their First Amendment protections by employing the corporate form to disseminate  their speech. This fact underlies our cases involving every thing from movie producers to book publishers to newspapers. See, e.g., Joseph Burstyn, Inc., 343 U. S., at 497–503;  Simon &amp; Schuster, Inc. v. Members of N. Y. State Crime Vic tims Bd., 502 U. S. 105, 114–116 (1991); Grosjean v. Amer whose motives others may find misinformed or offensive.</w:t>
      </w:r>
    </w:p>
    <w:p>
      <w:pPr>
        <w:pStyle w:val="PreformattedText"/>
        <w:bidi w:val="0"/>
        <w:spacing w:before="0" w:after="0"/>
        <w:jc w:val="left"/>
        <w:rPr/>
      </w:pPr>
      <w:r>
        <w:rPr/>
      </w:r>
    </w:p>
    <w:p>
      <w:pPr>
        <w:pStyle w:val="PreformattedText"/>
        <w:bidi w:val="0"/>
        <w:spacing w:before="0" w:after="0"/>
        <w:jc w:val="left"/>
        <w:rPr/>
      </w:pPr>
      <w:r>
        <w:rPr/>
        <w:t>See Federal Election Comm’n v. Wisconsin Right to Life,  Inc., 551 U. S. 449, 468–469 (2007) (opinion of ROBERTS,  C. J.) (observing that “a speaker’s motivation is entirely ir relevant” (internal quotation marks omitted)); National Socialist Party of America v. Skokie, 432 U. S. 43, 43–44 (1977) (per curiam) (upholding free-speech rights of participants in a Nazi parade); Snyder, 562 U. S., at 456–457  (same for protestors of a soldier’s funeral).3</w:t>
      </w:r>
    </w:p>
    <w:p>
      <w:pPr>
        <w:pStyle w:val="PreformattedText"/>
        <w:bidi w:val="0"/>
        <w:spacing w:before="0" w:after="0"/>
        <w:jc w:val="left"/>
        <w:rPr/>
      </w:pPr>
      <w:r>
        <w:rPr/>
      </w:r>
    </w:p>
    <w:p>
      <w:pPr>
        <w:pStyle w:val="PreformattedText"/>
        <w:bidi w:val="0"/>
        <w:spacing w:before="0" w:after="0"/>
        <w:jc w:val="left"/>
        <w:rPr/>
      </w:pPr>
      <w:r>
        <w:rPr/>
        <w:t>Failing all else, Colorado suggests that this Court’s decision in FAIR supports affirmance. See also post, at 25–26  (opinion of SOTOMAYOR, J.) (making the same argument). In FAIR, a group of schools challenged a law requiring them, as a condition of accepting federal funds, to permit military recruiters space on campus on equal terms with  other potential employers. 547 U. S., at 51–52, 58. The  only expressive activity required of the law schools, the Court found, involved the posting of logistical notices along these lines: “‘The U. S. Army recruiter will meet interested  students in Room 123 at 11 a.m.’” Id., at 61–62. And, the  Court reasoned, compelled speech of this sort was “incidental” and a “far cry” from the speech at issue in our “leading First Amendment precedents [that] have established  the principle that freedom of speech prohibits the government from telling people what they must say.” Ibid.; see  also NIFLA, 585 U. S., at ___ (slip op., at 8).</w:t>
      </w:r>
    </w:p>
    <w:p>
      <w:pPr>
        <w:pStyle w:val="PreformattedText"/>
        <w:bidi w:val="0"/>
        <w:spacing w:before="0" w:after="0"/>
        <w:jc w:val="left"/>
        <w:rPr/>
      </w:pPr>
      <w:r>
        <w:rPr/>
      </w:r>
    </w:p>
    <w:p>
      <w:pPr>
        <w:pStyle w:val="PreformattedText"/>
        <w:bidi w:val="0"/>
        <w:spacing w:before="0" w:after="0"/>
        <w:jc w:val="left"/>
        <w:rPr/>
      </w:pPr>
      <w:r>
        <w:rPr/>
        <w:t>It is a far cry from this case too. To be sure, our cases  have held that the government may sometimes “require The dissent labels the distinction between status and message “amusing” and “embarrassing.” Post, at 32. But in doing so, the dissent ignores a fundamental feature of the Free Speech Clause. While it does not protect status-based discrimination unrelated to expression, generally it does protect a speaker’s right to control her own message—even when we may disapprove of the speaker’s motive or the message itself. The dissent’s derision is no answer to any of this. It ignores, too, the fact that  Colorado itself has, in other contexts, distinguished status-based discrimination (forbidden) from the right of a speaker to control his own message (protected). See App. 131, 137, 140, 143–144, 149, 152, 154. (Truth be told, even the dissent acknowledges “th[is] distinction” else where in its opinion. Post, at 31, n. 11.) Nor is the distinction unusual  in societies committed both to nondiscrimination rules and free expression. See, e.g., Lee v. Ashers Baking Co. Ltd., [2018] UKSC 49, p. 14 (“The  less favourable treatment was afforded to the message not to the man.”).  Does the dissent really find all that amusing and embarrassing the dissemination of purely factual and uncontroversial in formation,” particularly in the context of “commercial advertising.” Hurley, 515 U. S., at 573 (internal quotation marks omitted); see also NIFLA, 585 U. S., at ___ (slip op., at 8); Riley v. National Federation of Blind of N. C., Inc.,  487 U. S. 781, 795–796 (1988). But this case involves nothing like that. Here, Colorado does not seek to impose an incidental burden on speech. It seeks to force an individual  to “utter what is not in [her] mind” about a question of political and religious significance. Barnette, 319 U. S., at  634. And that, FAIR reaffirmed, is something the First  Amendment does not tolerate. No government, FAIR recognized, may affect a “speaker’s message” by “forc[ing]” her to “accommodate” other views, 547 U. S., at 63; no government may “‘alter’” the “‘expressive content’” of her message, id., at 63–64 (alteration omitted); and no government may “interfer[e] with” her “desired message,” id., at 64.</w:t>
      </w:r>
    </w:p>
    <w:p>
      <w:pPr>
        <w:pStyle w:val="PreformattedText"/>
        <w:bidi w:val="0"/>
        <w:spacing w:before="0" w:after="0"/>
        <w:jc w:val="left"/>
        <w:rPr/>
      </w:pPr>
      <w:r>
        <w:rPr/>
      </w:r>
    </w:p>
    <w:p>
      <w:pPr>
        <w:pStyle w:val="PreformattedText"/>
        <w:bidi w:val="0"/>
        <w:spacing w:before="0" w:after="0"/>
        <w:jc w:val="left"/>
        <w:rPr/>
      </w:pPr>
      <w:r>
        <w:rPr/>
        <w:t>V</w:t>
      </w:r>
    </w:p>
    <w:p>
      <w:pPr>
        <w:pStyle w:val="PreformattedText"/>
        <w:bidi w:val="0"/>
        <w:spacing w:before="0" w:after="0"/>
        <w:jc w:val="left"/>
        <w:rPr/>
      </w:pPr>
      <w:r>
        <w:rPr/>
      </w:r>
    </w:p>
    <w:p>
      <w:pPr>
        <w:pStyle w:val="PreformattedText"/>
        <w:bidi w:val="0"/>
        <w:spacing w:before="0" w:after="0"/>
        <w:jc w:val="left"/>
        <w:rPr/>
      </w:pPr>
      <w:r>
        <w:rPr/>
        <w:t>It is difficult to read the dissent and conclude we are looking at the same case. Much of it focuses on the evolution of  public accommodations laws, post, at 7–13, and the strides  gay Americans have made towards securing equal justice under law, post, at 14–17. And, no doubt, there is much to  applaud here. But none of this answers the question we  face today: Can a State force someone who provides her  own expressive services to abandon her conscience and  speak its preferred message instead?</w:t>
      </w:r>
    </w:p>
    <w:p>
      <w:pPr>
        <w:pStyle w:val="PreformattedText"/>
        <w:bidi w:val="0"/>
        <w:spacing w:before="0" w:after="0"/>
        <w:jc w:val="left"/>
        <w:rPr/>
      </w:pPr>
      <w:r>
        <w:rPr/>
      </w:r>
    </w:p>
    <w:p>
      <w:pPr>
        <w:pStyle w:val="PreformattedText"/>
        <w:bidi w:val="0"/>
        <w:spacing w:before="0" w:after="0"/>
        <w:jc w:val="left"/>
        <w:rPr/>
      </w:pPr>
      <w:r>
        <w:rPr/>
        <w:t>When the dissent finally gets around to that question— more than halfway into its opinion—it reimagines the facts  of this case from top to bottom. The dissent claims that Colorado wishes to regulate Ms. Smith’s “conduct,” not her  speech. Post, at 24–29. Forget Colorado’s stipulation that  Ms. Smith’s activities are “expressive,” App. to Pet. for Cert. 181a, and the Tenth Circuit’s conclusion that the State seeks to compel “pure speech,” 6 F. 4th, at 1176. The dis sent chides us for deciding a pre-enforcement challenge.  Post, at 23. But it ignores the Tenth Circuit’s finding that Ms. Smith faces a credible threat of sanctions unless she</w:t>
      </w:r>
    </w:p>
    <w:p>
      <w:pPr>
        <w:pStyle w:val="PreformattedText"/>
        <w:bidi w:val="0"/>
        <w:spacing w:before="0" w:after="0"/>
        <w:jc w:val="left"/>
        <w:rPr/>
      </w:pPr>
      <w:r>
        <w:rPr/>
        <w:t>conforms her views to the State’s. 6 F. 4th, at 1172–1175.  The dissent suggests (over and over again) that any burden on speech here is “incidental.” Post, at 24, 26–30, 32–33.  All despite the Tenth Circuit’s finding that Colorado in tends to force Ms. Smith to convey a message she does not  believe with the “very purpose” of “[e]liminating . . . ideas”  that differ from its own. 6 F. 4th, at 1178.4</w:t>
      </w:r>
    </w:p>
    <w:p>
      <w:pPr>
        <w:pStyle w:val="PreformattedText"/>
        <w:bidi w:val="0"/>
        <w:spacing w:before="0" w:after="0"/>
        <w:jc w:val="left"/>
        <w:rPr/>
      </w:pPr>
      <w:r>
        <w:rPr/>
      </w:r>
    </w:p>
    <w:p>
      <w:pPr>
        <w:pStyle w:val="PreformattedText"/>
        <w:bidi w:val="0"/>
        <w:spacing w:before="0" w:after="0"/>
        <w:jc w:val="left"/>
        <w:rPr/>
      </w:pPr>
      <w:r>
        <w:rPr/>
        <w:t>Nor does the dissent’s reimagination end there. It claims  that, “for the first time in its history,” the Court “grants a business open to the public” a “right to refuse to serve members of a protected class.” Post, at 1; see also id., at 26, n. 10,  35. Never mind that we do no such thing and Colorado itself  has stipulated Ms. Smith will (as CADA requires) “work  with all people regardless of . . . sexual orientation.” App. to Pet. for Cert. 184a. Never mind, too, that it is the dissent  that would have this Court do something truly novel by al lowing a government to coerce an individual to speak contrary to her beliefs on a significant issue of personal conviction, all in order to eliminate ideas that differ from its own.</w:t>
      </w:r>
    </w:p>
    <w:p>
      <w:pPr>
        <w:pStyle w:val="PreformattedText"/>
        <w:bidi w:val="0"/>
        <w:spacing w:before="0" w:after="0"/>
        <w:jc w:val="left"/>
        <w:rPr/>
      </w:pPr>
      <w:r>
        <w:rPr/>
      </w:r>
    </w:p>
    <w:p>
      <w:pPr>
        <w:pStyle w:val="PreformattedText"/>
        <w:bidi w:val="0"/>
        <w:spacing w:before="0" w:after="0"/>
        <w:jc w:val="left"/>
        <w:rPr/>
      </w:pPr>
      <w:r>
        <w:rPr/>
        <w:t>There is still more. The dissent asserts that we “sweep  under the rug petitioners’ challenge to CADA’s Communication Clause.” Post, at 26. This despite the fact the parties and the Tenth Circuit recognized that Ms. Smith’s Communication Clause challenge hinges on her Accommodation  Clause challenge. (So much so that Colorado devoted less than two pages at the tail end of its brief to the Communication Clause and the Tenth Circuit afforded it just three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4Perplexingly, too, the dissent suggests that, by recounting the Tenth Circuit’s conclusion on this score, we “misunderstan[d] this case” and “invo[ke] . . . Orwellian thought policing.” Post, at 34, n. 14.</w:t>
      </w:r>
    </w:p>
    <w:p>
      <w:pPr>
        <w:pStyle w:val="PreformattedText"/>
        <w:bidi w:val="0"/>
        <w:spacing w:before="0" w:after="0"/>
        <w:jc w:val="left"/>
        <w:rPr/>
      </w:pPr>
      <w:r>
        <w:rPr/>
      </w:r>
    </w:p>
    <w:p>
      <w:pPr>
        <w:pStyle w:val="PreformattedText"/>
        <w:bidi w:val="0"/>
        <w:spacing w:before="0" w:after="0"/>
        <w:jc w:val="left"/>
        <w:rPr/>
      </w:pPr>
      <w:r>
        <w:rPr/>
        <w:t>Cite as: 600 U. S. ____ (2023) 21</w:t>
      </w:r>
    </w:p>
    <w:p>
      <w:pPr>
        <w:pStyle w:val="PreformattedText"/>
        <w:bidi w:val="0"/>
        <w:spacing w:before="0" w:after="0"/>
        <w:jc w:val="left"/>
        <w:rPr/>
      </w:pPr>
      <w:r>
        <w:rPr/>
      </w:r>
    </w:p>
    <w:p>
      <w:pPr>
        <w:pStyle w:val="PreformattedText"/>
        <w:bidi w:val="0"/>
        <w:spacing w:before="0" w:after="0"/>
        <w:jc w:val="left"/>
        <w:rPr/>
      </w:pPr>
      <w:r>
        <w:rPr/>
        <w:t>Opinion of the Court</w:t>
      </w:r>
    </w:p>
    <w:p>
      <w:pPr>
        <w:pStyle w:val="PreformattedText"/>
        <w:bidi w:val="0"/>
        <w:spacing w:before="0" w:after="0"/>
        <w:jc w:val="left"/>
        <w:rPr/>
      </w:pPr>
      <w:r>
        <w:rPr/>
      </w:r>
    </w:p>
    <w:p>
      <w:pPr>
        <w:pStyle w:val="PreformattedText"/>
        <w:bidi w:val="0"/>
        <w:spacing w:before="0" w:after="0"/>
        <w:jc w:val="left"/>
        <w:rPr/>
      </w:pPr>
      <w:r>
        <w:rPr/>
        <w:t>paragraphs in its free-speech analysis. See Brief for Respondents 44–45; 6 F. 4th, at 1182–1183.)5 The dissent  even suggests that our decision today is akin to endorsing a  “separate but equal” regime that would allow law firms to refuse women admission into partnership, restaurants to deny service to Black Americans, or businesses seeking employees to post something like a “White Applicants Only”  sign. Post, at 1, 16–21, 26, 28–29, 32, and n. 13, 37. Pure  fiction all.</w:t>
      </w:r>
    </w:p>
    <w:p>
      <w:pPr>
        <w:pStyle w:val="PreformattedText"/>
        <w:bidi w:val="0"/>
        <w:spacing w:before="0" w:after="0"/>
        <w:jc w:val="left"/>
        <w:rPr/>
      </w:pPr>
      <w:r>
        <w:rPr/>
      </w:r>
    </w:p>
    <w:p>
      <w:pPr>
        <w:pStyle w:val="PreformattedText"/>
        <w:bidi w:val="0"/>
        <w:spacing w:before="0" w:after="0"/>
        <w:jc w:val="left"/>
        <w:rPr/>
      </w:pPr>
      <w:r>
        <w:rPr/>
        <w:t>In some places, the dissent gets so turned around about the facts that it opens fire on its own position. For instance:  While stressing that a Colorado company cannot refuse “the  full and equal enjoyment of [its] services” based on a customer’s protected status, post, at 27, the dissent assures us  that a company selling creative services “to the public” does  have a right “to decide what messages to include or not to  include,” post, at 28. But if that is true, what are we even  debating?</w:t>
      </w:r>
    </w:p>
    <w:p>
      <w:pPr>
        <w:pStyle w:val="PreformattedText"/>
        <w:bidi w:val="0"/>
        <w:spacing w:before="0" w:after="0"/>
        <w:jc w:val="left"/>
        <w:rPr/>
      </w:pPr>
      <w:r>
        <w:rPr/>
      </w:r>
    </w:p>
    <w:p>
      <w:pPr>
        <w:pStyle w:val="PreformattedText"/>
        <w:bidi w:val="0"/>
        <w:spacing w:before="0" w:after="0"/>
        <w:jc w:val="left"/>
        <w:rPr/>
      </w:pPr>
      <w:r>
        <w:rPr/>
        <w:t>Instead of addressing the parties’ stipulations about the case actually before us, the dissent spends much of its time adrift on a sea of hypotheticals about photographers, stationers, and others, asking if they too provide expressive services covered by the First Amendment. Post, at 27–29,</w:t>
      </w:r>
    </w:p>
    <w:p>
      <w:pPr>
        <w:pStyle w:val="PreformattedText"/>
        <w:bidi w:val="0"/>
        <w:spacing w:before="0" w:after="0"/>
        <w:jc w:val="left"/>
        <w:rPr/>
      </w:pPr>
      <w:r>
        <w:rPr/>
      </w:r>
    </w:p>
    <w:p>
      <w:pPr>
        <w:pStyle w:val="PreformattedText"/>
        <w:bidi w:val="0"/>
        <w:spacing w:before="0" w:after="0"/>
        <w:jc w:val="left"/>
        <w:rPr/>
      </w:pPr>
      <w:r>
        <w:rPr/>
        <w:t>31–32, 37. But those cases are not this case. Doubtless,  determining what qualifies as expressive activity protected</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5Why does the dissent try to refocus this case around the Communication Clause? Perhaps because the moment one acknowledges the parties’  stipulations—and the fact Colorado seeks to use its Accommodation  Clause to compel speech in order to ensure conformity to its own views  on a topic of major significance—the First Amendment implications be come obvious. As does the fact that our case is nothing like a typical  application of a public accommodations law requiring an ordinary, non expressive business to serve all customers or consider all applicants. Our  decision today does not concern—much less endorse—anything like the “ ‘straight couples only’ ” notices the dissent conjures out of thin air. Post,at 26, n. 10. Nor do the parties discuss anything of the sort in their stipulations.</w:t>
      </w:r>
    </w:p>
    <w:p>
      <w:pPr>
        <w:pStyle w:val="PreformattedText"/>
        <w:bidi w:val="0"/>
        <w:spacing w:before="0" w:after="0"/>
        <w:jc w:val="left"/>
        <w:rPr/>
      </w:pPr>
      <w:r>
        <w:rPr/>
      </w:r>
    </w:p>
    <w:p>
      <w:pPr>
        <w:pStyle w:val="PreformattedText"/>
        <w:bidi w:val="0"/>
        <w:spacing w:before="0" w:after="0"/>
        <w:jc w:val="left"/>
        <w:rPr/>
      </w:pPr>
      <w:r>
        <w:rPr/>
        <w:t>22 303 CREATIVE LLC v. ELENIS</w:t>
      </w:r>
    </w:p>
    <w:p>
      <w:pPr>
        <w:pStyle w:val="PreformattedText"/>
        <w:bidi w:val="0"/>
        <w:spacing w:before="0" w:after="0"/>
        <w:jc w:val="left"/>
        <w:rPr/>
      </w:pPr>
      <w:r>
        <w:rPr/>
      </w:r>
    </w:p>
    <w:p>
      <w:pPr>
        <w:pStyle w:val="PreformattedText"/>
        <w:bidi w:val="0"/>
        <w:spacing w:before="0" w:after="0"/>
        <w:jc w:val="left"/>
        <w:rPr/>
      </w:pPr>
      <w:r>
        <w:rPr/>
        <w:t>Opinion of the Court</w:t>
      </w:r>
    </w:p>
    <w:p>
      <w:pPr>
        <w:pStyle w:val="PreformattedText"/>
        <w:bidi w:val="0"/>
        <w:spacing w:before="0" w:after="0"/>
        <w:jc w:val="left"/>
        <w:rPr/>
      </w:pPr>
      <w:r>
        <w:rPr/>
      </w:r>
    </w:p>
    <w:p>
      <w:pPr>
        <w:pStyle w:val="PreformattedText"/>
        <w:bidi w:val="0"/>
        <w:spacing w:before="0" w:after="0"/>
        <w:jc w:val="left"/>
        <w:rPr/>
      </w:pPr>
      <w:r>
        <w:rPr/>
        <w:t>by the First Amendment can sometimes raise difficult questions. But this case presents no complication of that kind.</w:t>
      </w:r>
    </w:p>
    <w:p>
      <w:pPr>
        <w:pStyle w:val="PreformattedText"/>
        <w:bidi w:val="0"/>
        <w:spacing w:before="0" w:after="0"/>
        <w:jc w:val="left"/>
        <w:rPr/>
      </w:pPr>
      <w:r>
        <w:rPr/>
      </w:r>
    </w:p>
    <w:p>
      <w:pPr>
        <w:pStyle w:val="PreformattedText"/>
        <w:bidi w:val="0"/>
        <w:spacing w:before="0" w:after="0"/>
        <w:jc w:val="left"/>
        <w:rPr/>
      </w:pPr>
      <w:r>
        <w:rPr/>
        <w:t>The parties have stipulated that Ms. Smith seeks to engage  in expressive activity. And the Tenth Circuit has recognized her services involve “pure speech.” See supra, at 6, 9.  Nothing the dissent says can alter this—nor can it displace the First Amendment protections that follow.</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6 The dissent observes that public accommodations laws may some times touch on speech incidentally as they work to ensure ordinary, non expressive goods and services are sold on equal terms. Cf. post, at 24–27  (citing Sorrell v. IMS Health Inc., 564 U. S. 552 (2011); Rumsfeld v.</w:t>
      </w:r>
    </w:p>
    <w:p>
      <w:pPr>
        <w:pStyle w:val="PreformattedText"/>
        <w:bidi w:val="0"/>
        <w:spacing w:before="0" w:after="0"/>
        <w:jc w:val="left"/>
        <w:rPr/>
      </w:pPr>
      <w:r>
        <w:rPr/>
      </w:r>
    </w:p>
    <w:p>
      <w:pPr>
        <w:pStyle w:val="PreformattedText"/>
        <w:bidi w:val="0"/>
        <w:spacing w:before="0" w:after="0"/>
        <w:jc w:val="left"/>
        <w:rPr/>
      </w:pPr>
      <w:r>
        <w:rPr/>
        <w:t>FAIR, 547 U. S. 47 (2006); United States v. O’Brien, 391 U. S. 367 (1968)).  But as Hurley observed, there is nothing “incidental” about an infringement on speech when a public accommodations law is applied “peculiar[ly]” to compel expressive activity. Hurley v. Irish-American Gay,  Lesbian and Bisexual Group of Boston, Inc., 515 U. S. 557, 572 (1995).</w:t>
      </w:r>
    </w:p>
    <w:p>
      <w:pPr>
        <w:pStyle w:val="PreformattedText"/>
        <w:bidi w:val="0"/>
        <w:spacing w:before="0" w:after="0"/>
        <w:jc w:val="left"/>
        <w:rPr/>
      </w:pPr>
      <w:r>
        <w:rPr/>
      </w:r>
    </w:p>
    <w:p>
      <w:pPr>
        <w:pStyle w:val="PreformattedText"/>
        <w:bidi w:val="0"/>
        <w:spacing w:before="0" w:after="0"/>
        <w:jc w:val="left"/>
        <w:rPr/>
      </w:pPr>
      <w:r>
        <w:rPr/>
        <w:t>Cite as: 600 U. S. ____ (2023) 23</w:t>
      </w:r>
    </w:p>
    <w:p>
      <w:pPr>
        <w:pStyle w:val="PreformattedText"/>
        <w:bidi w:val="0"/>
        <w:spacing w:before="0" w:after="0"/>
        <w:jc w:val="left"/>
        <w:rPr/>
      </w:pPr>
      <w:r>
        <w:rPr/>
      </w:r>
    </w:p>
    <w:p>
      <w:pPr>
        <w:pStyle w:val="PreformattedText"/>
        <w:bidi w:val="0"/>
        <w:spacing w:before="0" w:after="0"/>
        <w:jc w:val="left"/>
        <w:rPr/>
      </w:pPr>
      <w:r>
        <w:rPr/>
        <w:t>Opinion of the Court</w:t>
      </w:r>
    </w:p>
    <w:p>
      <w:pPr>
        <w:pStyle w:val="PreformattedText"/>
        <w:bidi w:val="0"/>
        <w:spacing w:before="0" w:after="0"/>
        <w:jc w:val="left"/>
        <w:rPr/>
      </w:pPr>
      <w:r>
        <w:rPr/>
      </w:r>
    </w:p>
    <w:p>
      <w:pPr>
        <w:pStyle w:val="PreformattedText"/>
        <w:bidi w:val="0"/>
        <w:spacing w:before="0" w:after="0"/>
        <w:jc w:val="left"/>
        <w:rPr/>
      </w:pPr>
      <w:r>
        <w:rPr/>
        <w:t>When it finally gets around to discussing these control ling precedents, the dissent offers a wholly unpersuasive attempt to distinguish them. The First Amendment protections furnished in Barnette, Hurley, and Dale, the dissent</w:t>
      </w:r>
    </w:p>
    <w:p>
      <w:pPr>
        <w:pStyle w:val="PreformattedText"/>
        <w:bidi w:val="0"/>
        <w:spacing w:before="0" w:after="0"/>
        <w:jc w:val="left"/>
        <w:rPr/>
      </w:pPr>
      <w:r>
        <w:rPr/>
        <w:t>declares, were limited to schoolchildren and “nonprofit[s],”  and it is “dispiriting” to think they might also apply to Ms. Smith’s “commercial” activity. Post, at 32–35. But our  precedents endorse nothing like the limits the dissent  would project on them. Instead, as we have seen, the First  Amendment extends to all persons engaged in expressive conduct, including those who seek profit (such as  speechwriters, artists, and website designers). See supra,  at 16–17. If anything is truly dispiriting here, it is the dissent’s failure to take seriously this Court’s enduring commitment to protecting the speech rights of all comers, no  matter how controversial—or even repugnant—many may  find the message at hand.</w:t>
      </w:r>
    </w:p>
    <w:p>
      <w:pPr>
        <w:pStyle w:val="PreformattedText"/>
        <w:bidi w:val="0"/>
        <w:spacing w:before="0" w:after="0"/>
        <w:jc w:val="left"/>
        <w:rPr/>
      </w:pPr>
      <w:r>
        <w:rPr/>
      </w:r>
    </w:p>
    <w:p>
      <w:pPr>
        <w:pStyle w:val="PreformattedText"/>
        <w:bidi w:val="0"/>
        <w:spacing w:before="0" w:after="0"/>
        <w:jc w:val="left"/>
        <w:rPr/>
      </w:pPr>
      <w:r>
        <w:rPr/>
        <w:t>Finally, the dissent comes out and says what it really  means: Once Ms. Smith offers some speech, Colorado  “would require [her] to create and sell speech, notwithstanding [her] sincere objection to doing so”—and the dis sent would force her to comply with that demand. Post, at  29–30. Even as it does so, however, the dissent refuses to  acknowledge where its reasoning leads. In a world like  that, as Chief Judge Tymkovich highlighted, governments  could force “an unwilling Muslim movie director to make a film with a Zionist message,” they could compel “an atheist  muralist to accept a commission celebrating Evangelical zeal,” and they could require a gay website designer to cre ate websites for a group advocating against same-sex mar riage, so long as these speakers would accept commissions from the public with different messages. 6 F. 4th, at 1199  (dissenting opinion). Perhaps the dissent finds these possibilities untroubling because it trusts state governments to coerce only “enlightened” speech. But if that is the calculation, it is a dangerous one indeed.7</w:t>
      </w:r>
    </w:p>
    <w:p>
      <w:pPr>
        <w:pStyle w:val="PreformattedText"/>
        <w:bidi w:val="0"/>
        <w:spacing w:before="0" w:after="0"/>
        <w:jc w:val="left"/>
        <w:rPr/>
      </w:pPr>
      <w:r>
        <w:rPr/>
      </w:r>
    </w:p>
    <w:p>
      <w:pPr>
        <w:pStyle w:val="PreformattedText"/>
        <w:bidi w:val="0"/>
        <w:spacing w:before="0" w:after="0"/>
        <w:jc w:val="left"/>
        <w:rPr/>
      </w:pPr>
      <w:r>
        <w:rPr/>
        <w:t>The dissent is right about one thing—“[w]hat a difference” time can make. See post, at 2 (internal quotation marks omitted). Eighty years ago in Barnette, this Court  affirmed that “no official, high or petty, can prescribe what  shall be orthodox in politics, nationalism, religion, or other  matters of opinion.” 319 U. S., at 642. The Court did so  despite the fact that the speech rights it defended were  deeply unpopular; at the time, the world was at war and  many thought respect for the flag and the pledge “essential  for the welfare of the state.” Id., at 662–663 (Frankfurter,J., dissenting); see also id., at 636, 640 (majority opinion). Fifty years ago, this Court protected the right of Nazis to march through a town home to many Holocaust survivors  and along the way espouse ideas antithetical to those for</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7Perhaps the dissent finds these possibilities untroubling for another  reason. It asserts that CADA does not apply to “[m]any filmmakers, vis ual artists, and writers” because they do not “hold out” their services to  the public. Post, at 27. But the dissent cites nothing to support its claim and instead, once more, fights the facts. As we have seen, Colorado’s law  today applies to “any place of business engaged in any sales to the pub ic.” Colo. Rev. Stat. §24–34–601(1) (emphasis added); see also Part III,  supra. And the dissent can hardly dispute that many artists and writers  accept commissions from the public. Brief for Creative Professionals  et al. as Amici Curiae 5–21. Certainly, Colorado does not advance any thing like the dissent’s argument; it calls any exemption to its law for “artists” and others who provide “custom” services “unworkable.” Brief  for Respondents 28–31 (internal quotation marks omitted).</w:t>
      </w:r>
    </w:p>
    <w:p>
      <w:pPr>
        <w:pStyle w:val="PreformattedText"/>
        <w:bidi w:val="0"/>
        <w:spacing w:before="0" w:after="0"/>
        <w:jc w:val="left"/>
        <w:rPr/>
      </w:pPr>
      <w:r>
        <w:rPr/>
      </w:r>
    </w:p>
    <w:p>
      <w:pPr>
        <w:pStyle w:val="PreformattedText"/>
        <w:bidi w:val="0"/>
        <w:spacing w:before="0" w:after="0"/>
        <w:jc w:val="left"/>
        <w:rPr/>
      </w:pPr>
      <w:r>
        <w:rPr/>
        <w:t>Cite as: 600 U. S. ____ (2023) 25</w:t>
      </w:r>
    </w:p>
    <w:p>
      <w:pPr>
        <w:pStyle w:val="PreformattedText"/>
        <w:bidi w:val="0"/>
        <w:spacing w:before="0" w:after="0"/>
        <w:jc w:val="left"/>
        <w:rPr/>
      </w:pPr>
      <w:r>
        <w:rPr/>
      </w:r>
    </w:p>
    <w:p>
      <w:pPr>
        <w:pStyle w:val="PreformattedText"/>
        <w:bidi w:val="0"/>
        <w:spacing w:before="0" w:after="0"/>
        <w:jc w:val="left"/>
        <w:rPr/>
      </w:pPr>
      <w:r>
        <w:rPr/>
        <w:t>Opinion of the Court</w:t>
      </w:r>
    </w:p>
    <w:p>
      <w:pPr>
        <w:pStyle w:val="PreformattedText"/>
        <w:bidi w:val="0"/>
        <w:spacing w:before="0" w:after="0"/>
        <w:jc w:val="left"/>
        <w:rPr/>
      </w:pPr>
      <w:r>
        <w:rPr/>
      </w:r>
    </w:p>
    <w:p>
      <w:pPr>
        <w:pStyle w:val="PreformattedText"/>
        <w:bidi w:val="0"/>
        <w:spacing w:before="0" w:after="0"/>
        <w:jc w:val="left"/>
        <w:rPr/>
      </w:pPr>
      <w:r>
        <w:rPr/>
        <w:t>which this Nation stands. See Skokie, 432 U. S., at 43–44;  supra, at 17–18. Five years ago, in a case the dissenters highlight at the outset of their opinion, the Court stressed that “it is not . . . the role of the State or its officials to pre scribe what shall be offensive.” Masterpiece Cakeshop, 584  U. S., at ___ (slip op., at 16). And just days ago, Members  of today’s dissent joined in holding that the First Amend ment restricts how States may prosecute stalkers despite  the “harm[ful],” “low-value,” and “upsetting” nature of their speech. Counterman v. Colorado, 600 U. S. ___, ___ (2023)  (slip op., at 6); id., at ___ (SOTOMAYOR, J., concurring in part  and concurring in judgment) (slip op., at 5).</w:t>
      </w:r>
    </w:p>
    <w:p>
      <w:pPr>
        <w:pStyle w:val="PreformattedText"/>
        <w:bidi w:val="0"/>
        <w:spacing w:before="0" w:after="0"/>
        <w:jc w:val="left"/>
        <w:rPr/>
      </w:pPr>
      <w:r>
        <w:rPr/>
      </w:r>
    </w:p>
    <w:p>
      <w:pPr>
        <w:pStyle w:val="PreformattedText"/>
        <w:bidi w:val="0"/>
        <w:spacing w:before="0" w:after="0"/>
        <w:jc w:val="left"/>
        <w:rPr/>
      </w:pPr>
      <w:r>
        <w:rPr/>
        <w:t>Today, however, the dissent abandons what this Court’s cases have recognized time and time again: A commitment  to speech for only some messages and some persons is no  commitment at all. By approving a government’s effort to “[e]liminat[e]” disfavored “ideas,” 6 F. 4th, at 1178, today’s  dissent is emblematic of an unfortunate tendency by some to defend First Amendment values only when they find the speaker’s message sympathetic. But “[i]f liberty means an ything at all, it means the right to tell people what they do not want to hear.” 6 F. 4th, at 1190 (Tymkovich, C. J., dis senting) (quoting G. Orwell).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this case, Colorado seeks to force an individual to  speak in ways that align with its views but defy her conscience about a matter of major significance. In the past, other States in Barnette, Hurley, and Dale have similarly  tested the First Amendment’s boundaries by seeking to compel speech they thought vital at the time. But, as this  Court has long held, the opportunity to think for ourselves  and to express those thoughts freely is among our most cherished liberties and part of what keeps our Republic  strong. Of course, abiding the Constitution’s commitment to the freedom of speech means all of us will encounter ideas we consider “unattractive,” post, at 38 (opinion of  SOTOMAYOR, J.), “misguided, or even hurtful,” Hurley, 515  U. S., at 574. But tolerance, not coercion, is our Nation’s  answer. The First Amendment envisions the United States  as a rich and complex place where all persons are free to  think and speak as they wish, not as the government demands. Because Colorado seeks to deny that promise, the  judgment is Reversed.</w:t>
      </w:r>
    </w:p>
    <w:p>
      <w:pPr>
        <w:pStyle w:val="PreformattedText"/>
        <w:bidi w:val="0"/>
        <w:spacing w:before="0" w:after="0"/>
        <w:jc w:val="left"/>
        <w:rPr/>
      </w:pPr>
      <w:r>
        <w:rPr/>
      </w:r>
    </w:p>
    <w:p>
      <w:pPr>
        <w:pStyle w:val="PreformattedText"/>
        <w:bidi w:val="0"/>
        <w:spacing w:before="0" w:after="0"/>
        <w:jc w:val="left"/>
        <w:rPr/>
      </w:pPr>
      <w:r>
        <w:rPr/>
        <w:t>Cite as: 600 U. S. ____ (2023) 1</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SUPREME COURT OF THE UNITED STATES  _________________</w:t>
      </w:r>
    </w:p>
    <w:p>
      <w:pPr>
        <w:pStyle w:val="PreformattedText"/>
        <w:bidi w:val="0"/>
        <w:spacing w:before="0" w:after="0"/>
        <w:jc w:val="left"/>
        <w:rPr/>
      </w:pPr>
      <w:r>
        <w:rPr/>
      </w:r>
    </w:p>
    <w:p>
      <w:pPr>
        <w:pStyle w:val="PreformattedText"/>
        <w:bidi w:val="0"/>
        <w:spacing w:before="0" w:after="0"/>
        <w:jc w:val="left"/>
        <w:rPr/>
      </w:pPr>
      <w:r>
        <w:rPr/>
        <w:t>No. 21–476</w:t>
      </w:r>
    </w:p>
    <w:p>
      <w:pPr>
        <w:pStyle w:val="PreformattedText"/>
        <w:bidi w:val="0"/>
        <w:spacing w:before="0" w:after="0"/>
        <w:jc w:val="left"/>
        <w:rPr/>
      </w:pPr>
      <w:r>
        <w:rPr/>
      </w:r>
    </w:p>
    <w:p>
      <w:pPr>
        <w:pStyle w:val="PreformattedText"/>
        <w:bidi w:val="0"/>
        <w:spacing w:before="0" w:after="0"/>
        <w:jc w:val="left"/>
        <w:rPr/>
      </w:pPr>
      <w:r>
        <w:rPr/>
        <w:t>_________________</w:t>
      </w:r>
    </w:p>
    <w:p>
      <w:pPr>
        <w:pStyle w:val="PreformattedText"/>
        <w:bidi w:val="0"/>
        <w:spacing w:before="0" w:after="0"/>
        <w:jc w:val="left"/>
        <w:rPr/>
      </w:pPr>
      <w:r>
        <w:rPr/>
      </w:r>
    </w:p>
    <w:p>
      <w:pPr>
        <w:pStyle w:val="PreformattedText"/>
        <w:bidi w:val="0"/>
        <w:spacing w:before="0" w:after="0"/>
        <w:jc w:val="left"/>
        <w:rPr/>
      </w:pPr>
      <w:r>
        <w:rPr/>
        <w:t>303 CREATIVE LLC, ET AL., PETITIONERS v.  AUBREY ELENIS, ET AL.</w:t>
      </w:r>
    </w:p>
    <w:p>
      <w:pPr>
        <w:pStyle w:val="PreformattedText"/>
        <w:bidi w:val="0"/>
        <w:spacing w:before="0" w:after="0"/>
        <w:jc w:val="left"/>
        <w:rPr/>
      </w:pPr>
      <w:r>
        <w:rPr/>
      </w:r>
    </w:p>
    <w:p>
      <w:pPr>
        <w:pStyle w:val="PreformattedText"/>
        <w:bidi w:val="0"/>
        <w:spacing w:before="0" w:after="0"/>
        <w:jc w:val="left"/>
        <w:rPr/>
      </w:pPr>
      <w:r>
        <w:rPr/>
        <w:t>ON WRIT OF CERTIORARI TO THE UNITED STATES COURT OF  APPEALS FOR THE TENTH CIRCUIT</w:t>
      </w:r>
    </w:p>
    <w:p>
      <w:pPr>
        <w:pStyle w:val="PreformattedText"/>
        <w:bidi w:val="0"/>
        <w:spacing w:before="0" w:after="0"/>
        <w:jc w:val="left"/>
        <w:rPr/>
      </w:pPr>
      <w:r>
        <w:rPr/>
      </w:r>
    </w:p>
    <w:p>
      <w:pPr>
        <w:pStyle w:val="PreformattedText"/>
        <w:bidi w:val="0"/>
        <w:spacing w:before="0" w:after="0"/>
        <w:jc w:val="left"/>
        <w:rPr/>
      </w:pPr>
      <w:r>
        <w:rPr/>
        <w:t>[June 30, 2023]</w:t>
      </w:r>
    </w:p>
    <w:p>
      <w:pPr>
        <w:pStyle w:val="PreformattedText"/>
        <w:bidi w:val="0"/>
        <w:spacing w:before="0" w:after="0"/>
        <w:jc w:val="left"/>
        <w:rPr/>
      </w:pPr>
      <w:r>
        <w:rPr/>
      </w:r>
    </w:p>
    <w:p>
      <w:pPr>
        <w:pStyle w:val="PreformattedText"/>
        <w:bidi w:val="0"/>
        <w:spacing w:before="0" w:after="0"/>
        <w:jc w:val="left"/>
        <w:rPr/>
      </w:pPr>
      <w:r>
        <w:rPr/>
        <w:t>JUSTICE SOTOMAYOR, with whom JUSTICE KAGAN and  JUSTICE JACKSON join, dissenting.</w:t>
      </w:r>
    </w:p>
    <w:p>
      <w:pPr>
        <w:pStyle w:val="PreformattedText"/>
        <w:bidi w:val="0"/>
        <w:spacing w:before="0" w:after="0"/>
        <w:jc w:val="left"/>
        <w:rPr/>
      </w:pPr>
      <w:r>
        <w:rPr/>
      </w:r>
    </w:p>
    <w:p>
      <w:pPr>
        <w:pStyle w:val="PreformattedText"/>
        <w:bidi w:val="0"/>
        <w:spacing w:before="0" w:after="0"/>
        <w:jc w:val="left"/>
        <w:rPr/>
      </w:pPr>
      <w:r>
        <w:rPr/>
        <w:t>Five years ago, this Court recognized the “general rule” that religious and philosophical objections to gay marriage  “do not allow business owners and other actors in the economy and in society to deny protected persons equal access to goods and services under a neutral and generally applicable public accommodations law.” Masterpiece Cakeshop,  Ltd. v. Colorado Civil Rights Comm’n, 584 U. S. ___, ___  (2018) (slip op., at 9). The Court also recognized the “serious stigma” that would result if “purveyors of goods and ser vices who object to gay marriages for moral and religious  reasons” were “allowed to put up signs saying ‘no goods or services will be sold if they will be used for gay marriages.’”  Id., at ___ (slip op., at 12).</w:t>
      </w:r>
    </w:p>
    <w:p>
      <w:pPr>
        <w:pStyle w:val="PreformattedText"/>
        <w:bidi w:val="0"/>
        <w:spacing w:before="0" w:after="0"/>
        <w:jc w:val="left"/>
        <w:rPr/>
      </w:pPr>
      <w:r>
        <w:rPr/>
      </w:r>
    </w:p>
    <w:p>
      <w:pPr>
        <w:pStyle w:val="PreformattedText"/>
        <w:bidi w:val="0"/>
        <w:spacing w:before="0" w:after="0"/>
        <w:jc w:val="left"/>
        <w:rPr/>
      </w:pPr>
      <w:r>
        <w:rPr/>
        <w:t>Today, the Court, for the first time in its history, grants a business open to the public a constitutional right to refuse  to serve members of a protected class. Specifically, the Court holds that the First Amendment exempts a website design company from a state law that prohibits the company from denying wedding websites to same-sex couples if  the company chooses to sell those websites to the public.  The Court also holds that the company has a right to post a  notice that says, “‘no [wedding websites] will be sold if they  will be used for gay marriages.’” Ibid.</w:t>
      </w:r>
    </w:p>
    <w:p>
      <w:pPr>
        <w:pStyle w:val="PreformattedText"/>
        <w:bidi w:val="0"/>
        <w:spacing w:before="0" w:after="0"/>
        <w:jc w:val="left"/>
        <w:rPr/>
      </w:pPr>
      <w:r>
        <w:rPr/>
      </w:r>
    </w:p>
    <w:p>
      <w:pPr>
        <w:pStyle w:val="PreformattedText"/>
        <w:bidi w:val="0"/>
        <w:spacing w:before="0" w:after="0"/>
        <w:jc w:val="left"/>
        <w:rPr/>
      </w:pPr>
      <w:r>
        <w:rPr/>
        <w:t>2 303 CREATIVE LLC v. ELENIS</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w:t>
      </w:r>
      <w:r>
        <w:rPr/>
        <w:t>What a difference five years makes.” Carson v. Makin,  596 U. S. ___, ___ (2022) (SOTOMAYOR, J., dissenting) (slip op., at 5). And not just at the Court. Around the country, there has been a backlash to the movement for liberty and equality for gender and sexual minorities. New forms of  inclusion have been met with reactionary exclusion. This  is heartbreaking. Sadly, it is also familiar. When the civil  rights and women’s rights movements sought equality in  public life, some public establishments refused. Some even  claimed, based on sincere religious beliefs, constitutional  rights to discriminate. The brave Justices who once sat on  this Court decisively rejected those claims.</w:t>
      </w:r>
    </w:p>
    <w:p>
      <w:pPr>
        <w:pStyle w:val="PreformattedText"/>
        <w:bidi w:val="0"/>
        <w:spacing w:before="0" w:after="0"/>
        <w:jc w:val="left"/>
        <w:rPr/>
      </w:pPr>
      <w:r>
        <w:rPr/>
      </w:r>
    </w:p>
    <w:p>
      <w:pPr>
        <w:pStyle w:val="PreformattedText"/>
        <w:bidi w:val="0"/>
        <w:spacing w:before="0" w:after="0"/>
        <w:jc w:val="left"/>
        <w:rPr/>
      </w:pPr>
      <w:r>
        <w:rPr/>
        <w:t>Now the Court faces a similar test. A business open to the public seeks to deny gay and lesbian customers the full  and equal enjoyment of its services based on the owner’s religious belief that same-sex marriages are “false.” The  business argues, and a majority of the Court agrees, that  because the business offers services that are customized  and expressive, the Free Speech Clause of the First Amendment shields the business from a generally applicable law  that prohibits discrimination in the sale of publicly available goods and services. That is wrong. Profoundly wrong. As I will explain, the law in question targets conduct, not  speech, for regulation, and the act of discrimination has  never constituted protected expression under the First  Amendment. Our Constitution contains no right to refuse service to a disfavored group. I dissent.</w:t>
      </w:r>
    </w:p>
    <w:p>
      <w:pPr>
        <w:pStyle w:val="PreformattedText"/>
        <w:bidi w:val="0"/>
        <w:spacing w:before="0" w:after="0"/>
        <w:jc w:val="left"/>
        <w:rPr/>
      </w:pPr>
      <w:r>
        <w:rPr/>
      </w:r>
    </w:p>
    <w:p>
      <w:pPr>
        <w:pStyle w:val="PreformattedText"/>
        <w:bidi w:val="0"/>
        <w:spacing w:before="0" w:after="0"/>
        <w:jc w:val="left"/>
        <w:rPr/>
      </w:pPr>
      <w:r>
        <w:rPr/>
        <w:t>I</w:t>
      </w:r>
    </w:p>
    <w:p>
      <w:pPr>
        <w:pStyle w:val="PreformattedText"/>
        <w:bidi w:val="0"/>
        <w:spacing w:before="0" w:after="0"/>
        <w:jc w:val="left"/>
        <w:rPr/>
      </w:pPr>
      <w:r>
        <w:rPr/>
      </w:r>
    </w:p>
    <w:p>
      <w:pPr>
        <w:pStyle w:val="PreformattedText"/>
        <w:bidi w:val="0"/>
        <w:spacing w:before="0" w:after="0"/>
        <w:jc w:val="left"/>
        <w:rPr/>
      </w:pPr>
      <w:r>
        <w:rPr/>
        <w:t>A</w:t>
      </w:r>
    </w:p>
    <w:p>
      <w:pPr>
        <w:pStyle w:val="PreformattedText"/>
        <w:bidi w:val="0"/>
        <w:spacing w:before="0" w:after="0"/>
        <w:jc w:val="left"/>
        <w:rPr/>
      </w:pPr>
      <w:r>
        <w:rPr/>
      </w:r>
    </w:p>
    <w:p>
      <w:pPr>
        <w:pStyle w:val="PreformattedText"/>
        <w:bidi w:val="0"/>
        <w:spacing w:before="0" w:after="0"/>
        <w:jc w:val="left"/>
        <w:rPr/>
      </w:pPr>
      <w:r>
        <w:rPr/>
        <w:t>A “public accommodations law” is a law that guarantees to every person the full and equal enjoyment of places of public accommodation without unjust discrimination. The  American people, through their elected representatives,  have enacted such laws at all levels of government: The  federal Civil Rights Act of 1964 and the Americans with</w:t>
      </w:r>
    </w:p>
    <w:p>
      <w:pPr>
        <w:pStyle w:val="PreformattedText"/>
        <w:bidi w:val="0"/>
        <w:spacing w:before="0" w:after="0"/>
        <w:jc w:val="left"/>
        <w:rPr/>
      </w:pPr>
      <w:r>
        <w:rPr/>
      </w:r>
    </w:p>
    <w:p>
      <w:pPr>
        <w:pStyle w:val="PreformattedText"/>
        <w:bidi w:val="0"/>
        <w:spacing w:before="0" w:after="0"/>
        <w:jc w:val="left"/>
        <w:rPr/>
      </w:pPr>
      <w:r>
        <w:rPr/>
        <w:t>Cite as: 600 U. S. ____ (2023) 3</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Disabilities Act of 1990 prohibit discrimination by places of  public accommodation on the basis of race, color, religion,  national origin, or disability.1 All but five States have  analogous laws that prohibit discrimination on the basis of  these and other traits, such as age, sex, sexual orientation,</w:t>
      </w:r>
    </w:p>
    <w:p>
      <w:pPr>
        <w:pStyle w:val="PreformattedText"/>
        <w:bidi w:val="0"/>
        <w:spacing w:before="0" w:after="0"/>
        <w:jc w:val="left"/>
        <w:rPr/>
      </w:pPr>
      <w:r>
        <w:rPr/>
      </w:r>
    </w:p>
    <w:p>
      <w:pPr>
        <w:pStyle w:val="PreformattedText"/>
        <w:bidi w:val="0"/>
        <w:spacing w:before="0" w:after="0"/>
        <w:jc w:val="left"/>
        <w:rPr/>
      </w:pPr>
      <w:r>
        <w:rPr/>
        <w:t>and gender identity.2 And numerous local laws offer  similar protections.</w:t>
      </w:r>
    </w:p>
    <w:p>
      <w:pPr>
        <w:pStyle w:val="PreformattedText"/>
        <w:bidi w:val="0"/>
        <w:spacing w:before="0" w:after="0"/>
        <w:jc w:val="left"/>
        <w:rPr/>
      </w:pPr>
      <w:r>
        <w:rPr/>
      </w:r>
    </w:p>
    <w:p>
      <w:pPr>
        <w:pStyle w:val="PreformattedText"/>
        <w:bidi w:val="0"/>
        <w:spacing w:before="0" w:after="0"/>
        <w:jc w:val="left"/>
        <w:rPr/>
      </w:pPr>
      <w:r>
        <w:rPr/>
        <w:t>The people of Colorado have adopted the Colorado Anti Discrimination Act (CADA), which provides:</w:t>
      </w:r>
    </w:p>
    <w:p>
      <w:pPr>
        <w:pStyle w:val="PreformattedText"/>
        <w:bidi w:val="0"/>
        <w:spacing w:before="0" w:after="0"/>
        <w:jc w:val="left"/>
        <w:rPr/>
      </w:pPr>
      <w:r>
        <w:rPr/>
      </w:r>
    </w:p>
    <w:p>
      <w:pPr>
        <w:pStyle w:val="PreformattedText"/>
        <w:bidi w:val="0"/>
        <w:spacing w:before="0" w:after="0"/>
        <w:jc w:val="left"/>
        <w:rPr/>
      </w:pPr>
      <w:r>
        <w:rPr/>
        <w:t>“</w:t>
      </w:r>
      <w:r>
        <w:rPr/>
        <w:t>It is a discriminatory practice and unlawful for a person, directly or indirectly, to refuse, withhold from,</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1See 42 U. S. C. §2000a et seq. (Title II of Civil Rights Act of 1964); 42  U. S. C. §12181 et seq. (Title III of Americans with Disabilities Act of  1990).</w:t>
      </w:r>
    </w:p>
    <w:p>
      <w:pPr>
        <w:pStyle w:val="PreformattedText"/>
        <w:bidi w:val="0"/>
        <w:spacing w:before="0" w:after="0"/>
        <w:jc w:val="left"/>
        <w:rPr/>
      </w:pPr>
      <w:r>
        <w:rPr/>
      </w:r>
    </w:p>
    <w:p>
      <w:pPr>
        <w:pStyle w:val="PreformattedText"/>
        <w:bidi w:val="0"/>
        <w:spacing w:before="0" w:after="0"/>
        <w:jc w:val="left"/>
        <w:rPr/>
      </w:pPr>
      <w:r>
        <w:rPr/>
        <w:t>2See Alaska Stat. §18.80.230 (2023); Ariz. Rev. Stat. Ann. §41–1442  (2017); Ark. Code Ann. §16–123–107 (Supp. 2021); Cal. Civ. Code Ann.  §51 (West 2020); Colo. Rev. Stat. §24–34–601 (2022); Conn. Gen. Stat.  §§46a–64, 46a–81d (Cum. Supp. 2023); Del. Code Ann., Tit. 6, §4504  (Cum. Supp. 2022); Fla. Stat. §§413.08, 760.08 (2022); Haw. Rev. Stat.  §489–3 (Cum. Supp. 2021); Idaho Code Ann. §67–5909 (2020); Ill. Comp.  Stat., ch. 775, §5/1–102 (West Supp. 2021); Ind. Code §22–9–1–2 (2022);</w:t>
      </w:r>
    </w:p>
    <w:p>
      <w:pPr>
        <w:pStyle w:val="PreformattedText"/>
        <w:bidi w:val="0"/>
        <w:spacing w:before="0" w:after="0"/>
        <w:jc w:val="left"/>
        <w:rPr/>
      </w:pPr>
      <w:r>
        <w:rPr/>
      </w:r>
    </w:p>
    <w:p>
      <w:pPr>
        <w:pStyle w:val="PreformattedText"/>
        <w:bidi w:val="0"/>
        <w:spacing w:before="0" w:after="0"/>
        <w:jc w:val="left"/>
        <w:rPr/>
      </w:pPr>
      <w:r>
        <w:rPr/>
        <w:t>Iowa Code §216.7 (2023); Kan. Stat. Ann. §44–1001 (2021); Ky. Rev. Stat.  Ann. §§344.120, 344.145 (West 2018); La. Rev. Stat. Ann. §51:2247 (West  Cum. Supp. 2023); Me. Rev. Stat. Ann., Tit. 5, §4591 (Cum. Supp. 2023);  Md. State Govt. Code Ann. §20–304 (2021); Mass. Gen. Laws, ch. 272,  §98 (2020); Mich. Comp. Laws §§37.1102, 37.2302 (1981), as amended,</w:t>
      </w:r>
    </w:p>
    <w:p>
      <w:pPr>
        <w:pStyle w:val="PreformattedText"/>
        <w:bidi w:val="0"/>
        <w:spacing w:before="0" w:after="0"/>
        <w:jc w:val="left"/>
        <w:rPr/>
      </w:pPr>
      <w:r>
        <w:rPr/>
      </w:r>
    </w:p>
    <w:p>
      <w:pPr>
        <w:pStyle w:val="PreformattedText"/>
        <w:bidi w:val="0"/>
        <w:spacing w:before="0" w:after="0"/>
        <w:jc w:val="left"/>
        <w:rPr/>
      </w:pPr>
      <w:r>
        <w:rPr/>
        <w:t>2023 Mich. Pub. Acts no. 6 (sine die); Minn. Stat. §363A.11 (2022); Mo.  Rev. Stat. §213.065 (Cum. Supp. 2021); Mont. Code Ann. §49–2–304  (2021); Neb. Rev. Stat. §20–134 (2022); Nev. Rev. Stat. §651.070 (2017);  N. H. Rev. Stat. Ann. §354–A:17 (2022); N. J. Stat. Ann. §10:5–12 (West  Cum. Supp. 2023); N. M. Stat. Ann. §28–1–7 (2022); N. Y. Civ. Rights  Law Ann. §40 (West 2019); N. D. Cent. Code Ann. §14–02.4–14 (2017);  Ohio Rev. Code Ann. §4112.02 (Lexis Supp. 2023); Okla. Stat., Tit. 25,  §1402 (2011); Ore. Rev. Stat. §659A.403 (2021); Pa. Stat. Ann., Tit. 43,</w:t>
      </w:r>
    </w:p>
    <w:p>
      <w:pPr>
        <w:pStyle w:val="PreformattedText"/>
        <w:bidi w:val="0"/>
        <w:spacing w:before="0" w:after="0"/>
        <w:jc w:val="left"/>
        <w:rPr/>
      </w:pPr>
      <w:r>
        <w:rPr/>
      </w:r>
    </w:p>
    <w:p>
      <w:pPr>
        <w:pStyle w:val="PreformattedText"/>
        <w:bidi w:val="0"/>
        <w:spacing w:before="0" w:after="0"/>
        <w:jc w:val="left"/>
        <w:rPr/>
      </w:pPr>
      <w:r>
        <w:rPr/>
        <w:t>§953 (Purdon 2020); R. I. Gen. Laws §11–24–2 (2002); S. C. Code Ann. §45–9–10 (2016); S. D. Codified Laws §20–13–23 (2016); Tenn. Code Ann. §4–21–501 (2021); Utah Code §13–7–3 (2022); Vt. Stat. Ann., Tit. 9,  §4502 (2020); Va. Code Ann. §2.2–3904 (2022); Wash. Rev. Code  §49.60.215 (2022); W. Va. Code Ann. §5–11–2 (Lexis 2022); Wis. Stat.  §106.52 (2019–2020); Wyo. Stat. Ann. §6–9–101 (2021).</w:t>
      </w:r>
    </w:p>
    <w:p>
      <w:pPr>
        <w:pStyle w:val="PreformattedText"/>
        <w:bidi w:val="0"/>
        <w:spacing w:before="0" w:after="0"/>
        <w:jc w:val="left"/>
        <w:rPr/>
      </w:pPr>
      <w:r>
        <w:rPr/>
      </w:r>
    </w:p>
    <w:p>
      <w:pPr>
        <w:pStyle w:val="PreformattedText"/>
        <w:bidi w:val="0"/>
        <w:spacing w:before="0" w:after="0"/>
        <w:jc w:val="left"/>
        <w:rPr/>
      </w:pPr>
      <w:r>
        <w:rPr/>
        <w:t>4 303 CREATIVE LLC v. ELENIS</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or deny to an individual or a group, because of disability, race, creed, color, sex, sexual orientation, gender  identity, gender expression, marital status, national  origin, or ancestry, the full and equal enjoyment of the goods, services, facilities, privileges, advantages, or accommodations of a place of public accommodation.”</w:t>
      </w:r>
    </w:p>
    <w:p>
      <w:pPr>
        <w:pStyle w:val="PreformattedText"/>
        <w:bidi w:val="0"/>
        <w:spacing w:before="0" w:after="0"/>
        <w:jc w:val="left"/>
        <w:rPr/>
      </w:pPr>
      <w:r>
        <w:rPr/>
      </w:r>
    </w:p>
    <w:p>
      <w:pPr>
        <w:pStyle w:val="PreformattedText"/>
        <w:bidi w:val="0"/>
        <w:spacing w:before="0" w:after="0"/>
        <w:jc w:val="left"/>
        <w:rPr/>
      </w:pPr>
      <w:r>
        <w:rPr/>
        <w:t>Colo. Rev. Stat. §24–34–601(2)(a).</w:t>
      </w:r>
    </w:p>
    <w:p>
      <w:pPr>
        <w:pStyle w:val="PreformattedText"/>
        <w:bidi w:val="0"/>
        <w:spacing w:before="0" w:after="0"/>
        <w:jc w:val="left"/>
        <w:rPr/>
      </w:pPr>
      <w:r>
        <w:rPr/>
      </w:r>
    </w:p>
    <w:p>
      <w:pPr>
        <w:pStyle w:val="PreformattedText"/>
        <w:bidi w:val="0"/>
        <w:spacing w:before="0" w:after="0"/>
        <w:jc w:val="left"/>
        <w:rPr/>
      </w:pPr>
      <w:r>
        <w:rPr/>
        <w:t>This provision, known as the Act’s “Accommodation  Clause,” applies to any business engaged in sales “to the  public.” §24–34–601(1). The Accommodation Clause does  not apply to any “church, synagogue, mosque, or other place  that is principally used for religious purposes.” Ibid.</w:t>
      </w:r>
    </w:p>
    <w:p>
      <w:pPr>
        <w:pStyle w:val="PreformattedText"/>
        <w:bidi w:val="0"/>
        <w:spacing w:before="0" w:after="0"/>
        <w:jc w:val="left"/>
        <w:rPr/>
      </w:pPr>
      <w:r>
        <w:rPr/>
      </w:r>
    </w:p>
    <w:p>
      <w:pPr>
        <w:pStyle w:val="PreformattedText"/>
        <w:bidi w:val="0"/>
        <w:spacing w:before="0" w:after="0"/>
        <w:jc w:val="left"/>
        <w:rPr/>
      </w:pPr>
      <w:r>
        <w:rPr/>
        <w:t>In addition, CADA contains what is referred to as the  Act’s “Communication Clause,” which makes it unlawful to  advertise that services “will be refused, withheld from, or  denied,” or that an individual is “unwelcome” at a place of  public accommodation, based on the same protected traits.  §24–34–601(2)(a). In other words, just as a business open  to the public may not refuse to serve customers based on  race, religion, or sexual orientation, so too the business may  not hang a sign that says, “No Blacks, No Muslims, No  Gays.”</w:t>
      </w:r>
    </w:p>
    <w:p>
      <w:pPr>
        <w:pStyle w:val="PreformattedText"/>
        <w:bidi w:val="0"/>
        <w:spacing w:before="0" w:after="0"/>
        <w:jc w:val="left"/>
        <w:rPr/>
      </w:pPr>
      <w:r>
        <w:rPr/>
      </w:r>
    </w:p>
    <w:p>
      <w:pPr>
        <w:pStyle w:val="PreformattedText"/>
        <w:bidi w:val="0"/>
        <w:spacing w:before="0" w:after="0"/>
        <w:jc w:val="left"/>
        <w:rPr/>
      </w:pPr>
      <w:r>
        <w:rPr/>
        <w:t>A public accommodations law has two core purposes. First, the law ensures “equal access to publicly available goods and services.” Roberts v. United States Jaycees, 468  U. S. 609, 624 (1984) (emphasis added). For social groups that face discrimination, such access is vital. All the more  so if the group is small in number or if discrimination  against the group is widespread. Equal access is mutually  beneficial: Protected persons receive “equally effective and meaningful opportunity to benefit from all aspects of life in America,” 135 Cong. Rec. 8506 (1989) (remarks of Sen.  Harkin) (Americans with Disabilities Act), and “society,” in  return, receives “the benefits of wide participation in political, economic, and cultural life.” Roberts, 468 U. S., at 625.</w:t>
      </w:r>
    </w:p>
    <w:p>
      <w:pPr>
        <w:pStyle w:val="PreformattedText"/>
        <w:bidi w:val="0"/>
        <w:spacing w:before="0" w:after="0"/>
        <w:jc w:val="left"/>
        <w:rPr/>
      </w:pPr>
      <w:r>
        <w:rPr/>
      </w:r>
    </w:p>
    <w:p>
      <w:pPr>
        <w:pStyle w:val="PreformattedText"/>
        <w:bidi w:val="0"/>
        <w:spacing w:before="0" w:after="0"/>
        <w:jc w:val="left"/>
        <w:rPr/>
      </w:pPr>
      <w:r>
        <w:rPr/>
        <w:t>Cite as: 600 U. S. ____ (2023) 5</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Second, a public accommodations law ensures equal dignity in the common market. Indeed, that is the law’s “fundamental object”: “to vindicate ‘the deprivation of personal dignity that surely accompanies denials of equal access to</w:t>
      </w:r>
    </w:p>
    <w:p>
      <w:pPr>
        <w:pStyle w:val="PreformattedText"/>
        <w:bidi w:val="0"/>
        <w:spacing w:before="0" w:after="0"/>
        <w:jc w:val="left"/>
        <w:rPr/>
      </w:pPr>
      <w:r>
        <w:rPr/>
      </w:r>
    </w:p>
    <w:p>
      <w:pPr>
        <w:pStyle w:val="PreformattedText"/>
        <w:bidi w:val="0"/>
        <w:spacing w:before="0" w:after="0"/>
        <w:jc w:val="left"/>
        <w:rPr/>
      </w:pPr>
      <w:r>
        <w:rPr/>
        <w:t>To illustrate, imagine a funeral home in rural Mississippi  agrees to transport and cremate the body of an elderly man who has passed away, and to host a memorial lunch. Upon  learning that the man’s surviving spouse is also a man, however, the funeral home refuses to deal with the family.</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3Hearings on the Nomination of Ruth Bader Ginsburg To Be Associate Justice of the Supreme Court of the United States before the Senate Committee on the Judiciary, 103d Cong., 1st Sess., 139 (1993).</w:t>
      </w:r>
    </w:p>
    <w:p>
      <w:pPr>
        <w:pStyle w:val="PreformattedText"/>
        <w:bidi w:val="0"/>
        <w:spacing w:before="0" w:after="0"/>
        <w:jc w:val="left"/>
        <w:rPr/>
      </w:pPr>
      <w:r>
        <w:rPr/>
      </w:r>
    </w:p>
    <w:p>
      <w:pPr>
        <w:pStyle w:val="PreformattedText"/>
        <w:bidi w:val="0"/>
        <w:spacing w:before="0" w:after="0"/>
        <w:jc w:val="left"/>
        <w:rPr/>
      </w:pPr>
      <w:r>
        <w:rPr/>
        <w:t>6 303 CREATIVE LLC v. ELENIS</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Grief stricken, and now isolated and humiliated, the family desperately searches for another funeral home that will take the body. They eventually find one more than 70 miles  away. See First Amended Complaint in Zawadski v.  Brewer Funeral Services, Inc., No. 55CI1–17–cv–00019  (C. C. Pearl River Cty., Miss., Mar. 7, 2017), pp. 4–7.4 This  ostracism, this otherness, is among the most distressing  feelings that can be felt by our social species. K. Williams,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4The men in this story are Robert “Bob” Huskey and John “Jack”  Zawadski. Bob and Jack were a loving couple of 52 years. They moved  from California to Colorado to care for Bob’s mother, then to Wisconsin  to farm apples and teach special education, and then to Mississippi to  retire. Within weeks of this Court’s decision in Obergefell v. Hodges, 576  U. S. 644 (2015), Bob and Jack got married. They were 85 and 81 years  old on their wedding day. A few months later, Bob’s health took a turn.  He died the following spring. When Bob’s family was forced to find an alternative funeral home more than an hour from where Bob and Jack  lived, the lunch in Bob’s memory had to be canceled. Jack died the next  year.</w:t>
      </w:r>
    </w:p>
    <w:p>
      <w:pPr>
        <w:pStyle w:val="PreformattedText"/>
        <w:bidi w:val="0"/>
        <w:spacing w:before="0" w:after="0"/>
        <w:jc w:val="left"/>
        <w:rPr/>
      </w:pPr>
      <w:r>
        <w:rPr/>
      </w:r>
    </w:p>
    <w:p>
      <w:pPr>
        <w:pStyle w:val="PreformattedText"/>
        <w:bidi w:val="0"/>
        <w:spacing w:before="0" w:after="0"/>
        <w:jc w:val="left"/>
        <w:rPr/>
      </w:pPr>
      <w:r>
        <w:rPr/>
        <w:t>Cite as: 600 U. S. ____ (2023) 7</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such as the federal Civil Rights Act, list establishments  that qualify, but these establishments are ones open to the public generally. See, e.g., 42 U. S. C. §2000a(b) (hotels,  restaurants, gas stations, movie theaters, concert halls, sports arenas, stadiums). A public accommodations law  does not force anyone to start a business, or to hold out the  business’s goods or services to the public at large. The law  also does not compel any business to sell any particular good or service. But if a business chooses to profit from the  public market, which is established and maintained by the  state, the state may require the business to abide by a legal norm of nondiscrimination. In particular, the state may en sure that groups historically marked for second-class status are not denied goods or services on equal terms. The concept of a public accommodation thus embodies a  simple, but powerful, social contract: A business that  chooses to sell to the public assumes a duty to serve the  public without unjust discrimination. J. Singer, No Right  To Exclude: Public Accommodations and Private Property,  90 Nw. U. L. Rev. 1283, 1298 (1996) (Singer).</w:t>
      </w:r>
    </w:p>
    <w:p>
      <w:pPr>
        <w:pStyle w:val="PreformattedText"/>
        <w:bidi w:val="0"/>
        <w:spacing w:before="0" w:after="0"/>
        <w:jc w:val="left"/>
        <w:rPr/>
      </w:pPr>
      <w:r>
        <w:rPr/>
      </w:r>
    </w:p>
    <w:p>
      <w:pPr>
        <w:pStyle w:val="PreformattedText"/>
        <w:bidi w:val="0"/>
        <w:spacing w:before="0" w:after="0"/>
        <w:jc w:val="left"/>
        <w:rPr/>
      </w:pPr>
      <w:r>
        <w:rPr/>
        <w:t>B</w:t>
      </w:r>
    </w:p>
    <w:p>
      <w:pPr>
        <w:pStyle w:val="PreformattedText"/>
        <w:bidi w:val="0"/>
        <w:spacing w:before="0" w:after="0"/>
        <w:jc w:val="left"/>
        <w:rPr/>
      </w:pPr>
      <w:r>
        <w:rPr/>
      </w:r>
    </w:p>
    <w:p>
      <w:pPr>
        <w:pStyle w:val="PreformattedText"/>
        <w:bidi w:val="0"/>
        <w:spacing w:before="0" w:after="0"/>
        <w:jc w:val="left"/>
        <w:rPr/>
      </w:pPr>
      <w:r>
        <w:rPr/>
        <w:t>The legal duty of a business open to the public to serve  the public without unjust discrimination is deeply rooted in our history. The true power of this principle, however, lies  in its capacity to evolve, as society comes to understand more forms of unjust discrimination and, hence, to include more persons as full and equal members of “the public.”</w:t>
      </w:r>
    </w:p>
    <w:p>
      <w:pPr>
        <w:pStyle w:val="PreformattedText"/>
        <w:bidi w:val="0"/>
        <w:spacing w:before="0" w:after="0"/>
        <w:jc w:val="left"/>
        <w:rPr/>
      </w:pPr>
      <w:r>
        <w:rPr/>
      </w:r>
    </w:p>
    <w:p>
      <w:pPr>
        <w:pStyle w:val="PreformattedText"/>
        <w:bidi w:val="0"/>
        <w:spacing w:before="0" w:after="0"/>
        <w:jc w:val="left"/>
        <w:rPr/>
      </w:pPr>
      <w:r>
        <w:rPr/>
        <w:t>1</w:t>
      </w:r>
    </w:p>
    <w:p>
      <w:pPr>
        <w:pStyle w:val="PreformattedText"/>
        <w:bidi w:val="0"/>
        <w:spacing w:before="0" w:after="0"/>
        <w:jc w:val="left"/>
        <w:rPr/>
      </w:pPr>
      <w:r>
        <w:rPr/>
      </w:r>
    </w:p>
    <w:p>
      <w:pPr>
        <w:pStyle w:val="PreformattedText"/>
        <w:bidi w:val="0"/>
        <w:spacing w:before="0" w:after="0"/>
        <w:jc w:val="left"/>
        <w:rPr/>
      </w:pPr>
      <w:r>
        <w:rPr/>
        <w:t>“</w:t>
      </w:r>
      <w:r>
        <w:rPr/>
        <w:t>At common law, innkeepers, smiths, and others who ‘made profession of a public employment,’ were prohibited from refusing, without good reason, to serve a customer.”  Hurley v. Irish-American Gay, Lesbian and Bisexual Group  of Boston, Inc., 515 U. S. 557, 571 (1995) (quoting Lane v.  Cotton, 12 Mod. 472, 485, 88 Eng. Rep. 1458, 1465 (K. B. 1701) (Holt, C. J.)). “Public employment” meant a business  “in which the owner has held himself out as ready to serve the public by exercising his trade.” Singer 1307; see, e.g.,  Gisbourn v. Hurst, 1 Salk. 249, 91 Eng. Rep. 220 (K. B.  1710). Take, for example, Lane v. Cotton, “[t]he leading English case” on the subject “cited over and over again in the nineteenth century in the United States.” Singer 1304. There, Lord Chief Justice Holt explained:</w:t>
      </w:r>
    </w:p>
    <w:p>
      <w:pPr>
        <w:pStyle w:val="PreformattedText"/>
        <w:bidi w:val="0"/>
        <w:spacing w:before="0" w:after="0"/>
        <w:jc w:val="left"/>
        <w:rPr/>
      </w:pPr>
      <w:r>
        <w:rPr/>
      </w:r>
    </w:p>
    <w:p>
      <w:pPr>
        <w:pStyle w:val="PreformattedText"/>
        <w:bidi w:val="0"/>
        <w:spacing w:before="0" w:after="0"/>
        <w:jc w:val="left"/>
        <w:rPr/>
      </w:pPr>
      <w:r>
        <w:rPr/>
        <w:t>“</w:t>
      </w:r>
      <w:r>
        <w:rPr/>
        <w:t>[W]here-ever any subject takes upon himself a public trust for the benefit of the rest of his fellow-subjects, he is eo ipso bound to serve the subject in all the things that are within the reach and comprehension of such an office, under pain of an action against him. . . . If on  the road a shoe fall off my horse, and I come to a smith to have one put on, and the smith refuse to do it, an action will lie against him, because he has made profession of a trade which is for the public good, and has  thereby exposed and vested an interest of himself in all the King’s subjects that will employ him in the way of  his trade.” Lane v. Cotton, 12 Mod., at 484, 88 Eng.  Rep., at 1464.</w:t>
      </w:r>
    </w:p>
    <w:p>
      <w:pPr>
        <w:pStyle w:val="PreformattedText"/>
        <w:bidi w:val="0"/>
        <w:spacing w:before="0" w:after="0"/>
        <w:jc w:val="left"/>
        <w:rPr/>
      </w:pPr>
      <w:r>
        <w:rPr/>
      </w:r>
    </w:p>
    <w:p>
      <w:pPr>
        <w:pStyle w:val="PreformattedText"/>
        <w:bidi w:val="0"/>
        <w:spacing w:before="0" w:after="0"/>
        <w:jc w:val="left"/>
        <w:rPr/>
      </w:pPr>
      <w:r>
        <w:rPr/>
        <w:t>That is to say, a business’s duty to serve all comers derived from its choice to hold itself out as ready to serve the public.  This holding-out rationale became firmly established in early American law. See 2 J. Kent, Commentaries on American Law 464–465 (1827); J. Story, Commentaries on the Law of Bailments §§495, 591 (1832); see also, e.g., Mark ham v. Brown, 8 N. H. 523, 528 (1837); Jencks v. Coleman,  13 F. Cas. 442, 443 (No. 7,258) (CC RI 1835) (Story, J.);  Dwight v. Brewster, 18 Mass. 50, 53 (1822).</w:t>
      </w:r>
    </w:p>
    <w:p>
      <w:pPr>
        <w:pStyle w:val="PreformattedText"/>
        <w:bidi w:val="0"/>
        <w:spacing w:before="0" w:after="0"/>
        <w:jc w:val="left"/>
        <w:rPr/>
      </w:pPr>
      <w:r>
        <w:rPr/>
      </w:r>
    </w:p>
    <w:p>
      <w:pPr>
        <w:pStyle w:val="PreformattedText"/>
        <w:bidi w:val="0"/>
        <w:spacing w:before="0" w:after="0"/>
        <w:jc w:val="left"/>
        <w:rPr/>
      </w:pPr>
      <w:r>
        <w:rPr/>
        <w:t>The majority is therefore mistaken to suggest that public  accommodations or common carriers historically assumed duties to serve all comers because they enjoyed monopolies or otherwise had market power. Ante, at 13. Tellingly, the majority cites no common-law case espousing the monopoly rationale.5 That is because nowhere in the relevant case law “is monopoly suggested as the distinguishing character istic.” E. Adler, Business Jurisprudence, 28 Harv. L. Rev.  135, 156 (1914) (“A distinction based on monopoly would re quire proof that the common carrier had some kind of a mo nopoly which the private carrier did not have, or that ‘com mon’ was synonymous with ‘monopoly.’ The plain meaning of the cases is [instead that] the common was the public, the  professional, the business carrier or other trader”).6</w:t>
      </w:r>
    </w:p>
    <w:p>
      <w:pPr>
        <w:pStyle w:val="PreformattedText"/>
        <w:bidi w:val="0"/>
        <w:spacing w:before="0" w:after="0"/>
        <w:jc w:val="left"/>
        <w:rPr/>
      </w:pPr>
      <w:r>
        <w:rPr/>
      </w:r>
    </w:p>
    <w:p>
      <w:pPr>
        <w:pStyle w:val="PreformattedText"/>
        <w:bidi w:val="0"/>
        <w:spacing w:before="0" w:after="0"/>
        <w:jc w:val="left"/>
        <w:rPr/>
      </w:pPr>
      <w:r>
        <w:rPr/>
        <w:t>2</w:t>
      </w:r>
    </w:p>
    <w:p>
      <w:pPr>
        <w:pStyle w:val="PreformattedText"/>
        <w:bidi w:val="0"/>
        <w:spacing w:before="0" w:after="0"/>
        <w:jc w:val="left"/>
        <w:rPr/>
      </w:pPr>
      <w:r>
        <w:rPr/>
      </w:r>
    </w:p>
    <w:p>
      <w:pPr>
        <w:pStyle w:val="PreformattedText"/>
        <w:bidi w:val="0"/>
        <w:spacing w:before="0" w:after="0"/>
        <w:jc w:val="left"/>
        <w:rPr/>
      </w:pPr>
      <w:r>
        <w:rPr/>
        <w:t>After the Civil War, some States codified the common-law  duty of public accommodations to serve all comers. See M.  Konvitz &amp; T. Leskes, A Century of Civil Rights 155–157  (1961). Early state public accommodations statutes prohibited discrimination based on race or color. Yet the principle  was at times stated more broadly: to provide “a remedy against any unjust discrimination to the citizen in all public  places.” Ferguson v. Gies, 82 Mich. 358, 365, 46 N. W. 718,  720 (1890). In 1885, Colorado adopted “‘An Act to Protect All Citizens in Their Civil Rights,’ which guaranteed ‘full  ——————</w:t>
      </w:r>
    </w:p>
    <w:p>
      <w:pPr>
        <w:pStyle w:val="PreformattedText"/>
        <w:bidi w:val="0"/>
        <w:spacing w:before="0" w:after="0"/>
        <w:jc w:val="left"/>
        <w:rPr/>
      </w:pPr>
      <w:r>
        <w:rPr/>
      </w:r>
    </w:p>
    <w:p>
      <w:pPr>
        <w:pStyle w:val="PreformattedText"/>
        <w:bidi w:val="0"/>
        <w:spacing w:before="0" w:after="0"/>
        <w:jc w:val="left"/>
        <w:rPr/>
      </w:pPr>
      <w:r>
        <w:rPr/>
        <w:t>5For example, a case on which the majority relies found that it could  “shortly dispos[e]” of the question whether a steamship company was a  common carrier because the company was “the owner of a general ship,  carrying goods for hire . . . and perform[ing]” that service “regular[ly].”</w:t>
      </w:r>
    </w:p>
    <w:p>
      <w:pPr>
        <w:pStyle w:val="PreformattedText"/>
        <w:bidi w:val="0"/>
        <w:spacing w:before="0" w:after="0"/>
        <w:jc w:val="left"/>
        <w:rPr/>
      </w:pPr>
      <w:r>
        <w:rPr/>
      </w:r>
    </w:p>
    <w:p>
      <w:pPr>
        <w:pStyle w:val="PreformattedText"/>
        <w:bidi w:val="0"/>
        <w:spacing w:before="0" w:after="0"/>
        <w:jc w:val="left"/>
        <w:rPr/>
      </w:pPr>
      <w:r>
        <w:rPr/>
        <w:t>Liverpool &amp; Great Western Steam Co. v. Phenix Ins. Co., 129 U. S. 397,  437 (1889). No showing of market power was required. Ibid. 6Nor does “host[ing] or transport[ing] others and their belongings,”  ante, at 13, explain the right of access. Smiths, for instance, did not al ways practice their trade by holding property for others. And even when  they did, any duty of care resulting from such bailment cannot explain  the duty to serve all comers, which logically must be assumed before hand. See Lane v. Cotton, 12 Mod. 472, 484, 88 Eng. Rep. 1458, 1464  (K. B. 1701) (Holt, C. J.). That duty instead came from somewhere else, and the weight of authority indicates that it came from a business’s act  of holding itself out to the public as ready to serve anyone who would hire  it. Singer 1304–1330; 3 W. Blackstone, Commentaries on the Laws of  England 164 (1768); J. Story, Commentaries on the Law of Bailments  §§495, 591 (1837); 1 T. Parsons, Law of Contracts 639, 643, 649 (1853).</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and equal enjoyment’ of certain public facilities to ‘all citi zens,’ ‘regardless of race, color or previous condition of ser vitude.’” Masterpiece Cakeshop, 584 U. S., at ___–___ (slip op., at 4–5) (quoting 1885 Colo. Sess. Laws p. 132). “A dec ade later, the [State] expanded the requirement to apply to</w:t>
      </w:r>
    </w:p>
    <w:p>
      <w:pPr>
        <w:pStyle w:val="PreformattedText"/>
        <w:bidi w:val="0"/>
        <w:spacing w:before="0" w:after="0"/>
        <w:jc w:val="left"/>
        <w:rPr/>
      </w:pPr>
      <w:r>
        <w:rPr/>
      </w:r>
    </w:p>
    <w:p>
      <w:pPr>
        <w:pStyle w:val="PreformattedText"/>
        <w:bidi w:val="0"/>
        <w:spacing w:before="0" w:after="0"/>
        <w:jc w:val="left"/>
        <w:rPr/>
      </w:pPr>
      <w:r>
        <w:rPr/>
        <w:t>‘</w:t>
      </w:r>
      <w:r>
        <w:rPr/>
        <w:t>all other places of public accommodation.’” 584 U. S., at  ___ (slip op., at 5) (quoting 1895 Colo. Sess. Laws ch. 61, p. 139). Congress, too, passed the Civil Rights Act of 1875, which established “[t]hat all persons within the jurisdiction of the United States shall be entitled to the full and equal  enjoyment of the accommodations, advantages, facilities, and privileges of inns, public conveyances on land or water,  theaters, and other places of public amusement . . . applica ble alike to citizens of every race and color, regardless of  any previous condition of servitude.” Act of Mar. 1, 1875,  §1, 18 Stat. 336.</w:t>
      </w:r>
    </w:p>
    <w:p>
      <w:pPr>
        <w:pStyle w:val="PreformattedText"/>
        <w:bidi w:val="0"/>
        <w:spacing w:before="0" w:after="0"/>
        <w:jc w:val="left"/>
        <w:rPr/>
      </w:pPr>
      <w:r>
        <w:rPr/>
      </w:r>
    </w:p>
    <w:p>
      <w:pPr>
        <w:pStyle w:val="PreformattedText"/>
        <w:bidi w:val="0"/>
        <w:spacing w:before="0" w:after="0"/>
        <w:jc w:val="left"/>
        <w:rPr/>
      </w:pPr>
      <w:r>
        <w:rPr/>
        <w:t>This Court, however, struck down the federal Civil Rights Act of 1875 as unconstitutional. Civil Rights Cases, 109  U. S. 3, 25 (1883). Southern States repealed public accommodations statutes and replaced them with Jim Crow laws. And state courts construed any remaining right of access in ays that furthered de jure and de facto racial segregation.7  Full and equal enjoyment came to mean “separate but equal” enjoyment. The result of this backsliding was “the  replacement of a general right of access with a general right  to exclude . . . in order to promote a racial caste system.”  Singer 1295.</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7Compare, e.g., Chesapeake, O. &amp; S. R. Co. v. Wells, 85 Tenn. 613, 615,  4 S. W. 5 (1887) (rejecting Ida B. Wells’s claim that she was denied “ ‘ac commodations equal in all respects,’ ” when she tried to enter a train car “set apart for white ladies and their gentlemen” on account of tobacco  smoke in her car, and was forcibly removed), with Memphis &amp; C. R. Co.  v. Benson, 85 Tenn. 627, 632, 4 S. W. 5, 7 (1887) (accepting that a white  man would be permitted to ride standing in the ladies’ car on account of tobacco smoke in his car).</w:t>
      </w:r>
    </w:p>
    <w:p>
      <w:pPr>
        <w:pStyle w:val="PreformattedText"/>
        <w:bidi w:val="0"/>
        <w:spacing w:before="0" w:after="0"/>
        <w:jc w:val="left"/>
        <w:rPr/>
      </w:pPr>
      <w:r>
        <w:rPr/>
      </w:r>
    </w:p>
    <w:p>
      <w:pPr>
        <w:pStyle w:val="PreformattedText"/>
        <w:bidi w:val="0"/>
        <w:spacing w:before="0" w:after="0"/>
        <w:jc w:val="left"/>
        <w:rPr/>
      </w:pPr>
      <w:r>
        <w:rPr/>
        <w:t>Cite as: 600 U. S. ____ (2023) 11</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Congress believed, rightly, that discrimination in places of public accommodation—“the injustice of being arbitrarily denied equal access to those facilities and accommodations which are otherwise open to the general public”—had “no lace” in this country, the country “of the melting pot, of equal rights, of one nation and one people.” S. Rep. No. 872, at 8–9 (quoting President Kennedy, June 19, 1963). It  therefore passed Title II of the Civil Rights Act of 1964, which declares: “All persons shall be entitled to the full and  equal enjoyment of the goods, services, facilities, privileges,  advantages, and accommodations of any place of public accommodation . . . without discrimination . . . on the ground of race, color, religion, or national origin.” 42 U. S. C.  §2000a. In enacting this landmark civil rights statute, Congress invoked the holding-out rationale from antebellum  common law: “one who employed his private property for  purposes of commercial gain by offering goods or services to the public must stick to his bargain.” S. Rep. No. 872, at</w:t>
      </w:r>
    </w:p>
    <w:p>
      <w:pPr>
        <w:pStyle w:val="PreformattedText"/>
        <w:bidi w:val="0"/>
        <w:spacing w:before="0" w:after="0"/>
        <w:jc w:val="left"/>
        <w:rPr/>
      </w:pPr>
      <w:r>
        <w:rPr/>
      </w:r>
    </w:p>
    <w:p>
      <w:pPr>
        <w:pStyle w:val="PreformattedText"/>
        <w:bidi w:val="0"/>
        <w:spacing w:before="0" w:after="0"/>
        <w:jc w:val="left"/>
        <w:rPr/>
      </w:pPr>
      <w:r>
        <w:rPr/>
        <w:t>12 303 CREATIVE LLC v. ELENIS</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22; see also id., at 9–10 (endorsing Lord Holt’s view in Lane  v. Cotton).</w:t>
      </w:r>
    </w:p>
    <w:p>
      <w:pPr>
        <w:pStyle w:val="PreformattedText"/>
        <w:bidi w:val="0"/>
        <w:spacing w:before="0" w:after="0"/>
        <w:jc w:val="left"/>
        <w:rPr/>
      </w:pPr>
      <w:r>
        <w:rPr/>
      </w:r>
    </w:p>
    <w:p>
      <w:pPr>
        <w:pStyle w:val="PreformattedText"/>
        <w:bidi w:val="0"/>
        <w:spacing w:before="0" w:after="0"/>
        <w:jc w:val="left"/>
        <w:rPr/>
      </w:pPr>
      <w:r>
        <w:rPr/>
        <w:t>In the decades that followed, the Nation opened its eyes to another injustice. People with disabilities, though inherently full and equal members of the public, had been excluded from many areas of public life. This exclusion  worked harms not only to disabled people’s standards of living, but to their dignity too. So Congress, responding once again to a social movement, this time against the subordination of people with disabilities, banned discrimination on  that basis and secured by law disabled people’s equal access  to public spaces. See S. Bagenstos, Law and the Contradictions of the Disability Rights Movement 13–20 (2009); R.  Colker, The Disability Pendulum 22–68 (2005). The center piece of this political and social action was the Americans with Disabilities Act of 1990 (ADA). Title III of the ADA  provides that “[n]o individual shall be discriminated,against on the basis of disability in the full and equal enjoyment of the goods, services, facilities, privileges, ad vantages, or accommodations of any place of public accommodation.” 42 U. S. C. §12182(a).</w:t>
      </w:r>
    </w:p>
    <w:p>
      <w:pPr>
        <w:pStyle w:val="PreformattedText"/>
        <w:bidi w:val="0"/>
        <w:spacing w:before="0" w:after="0"/>
        <w:jc w:val="left"/>
        <w:rPr/>
      </w:pPr>
      <w:r>
        <w:rPr/>
      </w:r>
    </w:p>
    <w:p>
      <w:pPr>
        <w:pStyle w:val="PreformattedText"/>
        <w:bidi w:val="0"/>
        <w:spacing w:before="0" w:after="0"/>
        <w:jc w:val="left"/>
        <w:rPr/>
      </w:pPr>
      <w:r>
        <w:rPr/>
        <w:t>Not only have public accommodations laws expanded to recognize more forms of unjust discrimination, such as discrimination based on race, sex, and disability, such laws have also expanded to include more goods and services as “public accommodations.” What began with common inns,  carriers, and smiths has grown to include restaurants, bars, movie theaters, sports arenas, retail stores, salons, gyms, hospitals, funeral homes, and transportation networks. See  nn. 1–2, supra; L. Lerman &amp; A. Sanderson, Discrimination  in Access to Public Places: A Survey of State and Federal Public Accommodations Laws, 7 N. Y. U. Rev. L. &amp; Soc.  Change 215, 217 (1978) (“‘Public accommodations’ is a term of art which was developed by the drafters of discrimination  laws to refer to [public] places other than schools, workplaces, and homes”). Today, laws like Colorado’s cover “any  place of business engaged in any sales to the public and any  place offering services . . . to the public.” Colo. Rev. Stat.  §24–34–601(1); see also, e.g., Ohio Rev. Code Ann.  §4112.01(9). Numerous other States extend such protections to businesses offering goods or services to “the general public.” Ariz. Rev. Stat. Ann. §41–1441(2); see also, e.g.,  Mass. Gen. Laws, ch. 272, §92A.</w:t>
      </w:r>
    </w:p>
    <w:p>
      <w:pPr>
        <w:pStyle w:val="PreformattedText"/>
        <w:bidi w:val="0"/>
        <w:spacing w:before="0" w:after="0"/>
        <w:jc w:val="left"/>
        <w:rPr/>
      </w:pPr>
      <w:r>
        <w:rPr/>
      </w:r>
    </w:p>
    <w:p>
      <w:pPr>
        <w:pStyle w:val="PreformattedText"/>
        <w:bidi w:val="0"/>
        <w:spacing w:before="0" w:after="0"/>
        <w:jc w:val="left"/>
        <w:rPr/>
      </w:pPr>
      <w:r>
        <w:rPr/>
        <w:t>This broader scope, though more inclusive than earlier  state public accommodations laws, is in keeping with the fundamental principle—rooted in the common law, but alive and blossoming in statutory law—that the duty to serve without unjust discrimination is owed to everyone,  and it extends to any business that holds itself out as ready  to serve the public. If you have ever taken advantage of a  public business without being denied service because of who  you are, then you have come to enjoy the dignity and freedom that this principle protects.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Lesbian, gay, bisexual, and transgender (LGBT) people, no less than anyone else, deserve that dignity and freedom. The movement for LGBT rights, and the resulting expansion of state and local laws to secure gender and sexual minorities’ full and equal enjoyment of publicly available  goods and services, is the latest chapter of this great American story.</w:t>
      </w:r>
    </w:p>
    <w:p>
      <w:pPr>
        <w:pStyle w:val="PreformattedText"/>
        <w:bidi w:val="0"/>
        <w:spacing w:before="0" w:after="0"/>
        <w:jc w:val="left"/>
        <w:rPr/>
      </w:pPr>
      <w:r>
        <w:rPr/>
      </w:r>
    </w:p>
    <w:p>
      <w:pPr>
        <w:pStyle w:val="PreformattedText"/>
        <w:bidi w:val="0"/>
        <w:spacing w:before="0" w:after="0"/>
        <w:jc w:val="left"/>
        <w:rPr/>
      </w:pPr>
      <w:r>
        <w:rPr/>
        <w:t>LGBT people have existed for all of human history. And  as sure as they have existed, others have sought to deny their existence, and to exclude them from public life. Those  who would subordinate LGBT people have often done so with the backing of law. For most of American history, there were laws criminalizing same-sex intimacy. Oberge fell v. Hodges, 576 U. S. 644, 660–661 (2015). “Gays and lesbians were [also] prohibited from most government employment, barred from military service, excluded under immigration laws, targeted by police, and burdened in their  rights to associate.” Id., at 661. “These policies worked to create and reinforce the belief that gay men and lesbians” constituted “an inferior class.” Brief for Organization of  American Historians as Amicus Curiae in Obergefell v.  Hodges, O. T. 2014, No. 14–556, p. 3.</w:t>
      </w:r>
    </w:p>
    <w:p>
      <w:pPr>
        <w:pStyle w:val="PreformattedText"/>
        <w:bidi w:val="0"/>
        <w:spacing w:before="0" w:after="0"/>
        <w:jc w:val="left"/>
        <w:rPr/>
      </w:pPr>
      <w:r>
        <w:rPr/>
      </w:r>
    </w:p>
    <w:p>
      <w:pPr>
        <w:pStyle w:val="PreformattedText"/>
        <w:bidi w:val="0"/>
        <w:spacing w:before="0" w:after="0"/>
        <w:jc w:val="left"/>
        <w:rPr/>
      </w:pPr>
      <w:r>
        <w:rPr/>
        <w:t>State-sponsored discrimination was compounded by discrimination in public accommodations, though the two often went hand in hand. The police raided bars looking for gays and lesbians so often that some bars put up signs saying, “‘We Do Not Serve Homosexuals.’” Id., at 13 (quoting G. Chauncey, Why Marriage 8 (2004)). LGBT discrimination in public accommodations has continued well into the  21st century. See UCLA School of Law Williams Institute,  C. Mallory &amp; B. Sears, Evidence of Discrimination in Public  Accommodations Based on Sexual Orientation and Gender  Identity (2016).</w:t>
      </w:r>
    </w:p>
    <w:p>
      <w:pPr>
        <w:pStyle w:val="PreformattedText"/>
        <w:bidi w:val="0"/>
        <w:spacing w:before="0" w:after="0"/>
        <w:jc w:val="left"/>
        <w:rPr/>
      </w:pPr>
      <w:r>
        <w:rPr/>
      </w:r>
    </w:p>
    <w:p>
      <w:pPr>
        <w:pStyle w:val="PreformattedText"/>
        <w:bidi w:val="0"/>
        <w:spacing w:before="0" w:after="0"/>
        <w:jc w:val="left"/>
        <w:rPr/>
      </w:pPr>
      <w:r>
        <w:rPr/>
        <w:t>A social system of discrimination created an environment  in which LGBT people were unsafe. Who could forget th</w:t>
      </w:r>
      <w:r>
        <w:rPr/>
        <w:t xml:space="preserve">e </w:t>
      </w:r>
      <w:r>
        <w:rPr/>
        <w:t>brutal murder of Matthew Shepard? Matthew was targeted  by two men, tortured, tied to a buck fence, and left to die for  who he was. See K. Drake, Gay Man Beaten, Burned and  Left Tied to Fence, Casper Star-Tribune, Oct. 10, 1998, p.</w:t>
      </w:r>
    </w:p>
    <w:p>
      <w:pPr>
        <w:pStyle w:val="PreformattedText"/>
        <w:bidi w:val="0"/>
        <w:spacing w:before="0" w:after="0"/>
        <w:jc w:val="left"/>
        <w:rPr/>
      </w:pPr>
      <w:r>
        <w:rPr/>
      </w:r>
    </w:p>
    <w:p>
      <w:pPr>
        <w:pStyle w:val="PreformattedText"/>
        <w:bidi w:val="0"/>
        <w:spacing w:before="0" w:after="0"/>
        <w:jc w:val="left"/>
        <w:rPr/>
      </w:pPr>
      <w:r>
        <w:rPr/>
        <w:t>A1. Or the Pulse nightclub massacre, the second-deadliest mass shooting in U. S. history? See S. Stolberg, For Gays Across America, a Massacre Punctuates Fitful Gains, N. Y.  Times, June 13, 2016, p. A1. Rates of violent victimization  are still significantly higher for LGBT people, with  transgender persons particularly vulnerable to attack. See  Dept. of Justice, J. Truman &amp; R. Morgan, Violent Victimization by Sexual Orientation and Gender Identity, 2017– 2020 (2022).</w:t>
      </w:r>
    </w:p>
    <w:p>
      <w:pPr>
        <w:pStyle w:val="PreformattedText"/>
        <w:bidi w:val="0"/>
        <w:spacing w:before="0" w:after="0"/>
        <w:jc w:val="left"/>
        <w:rPr/>
      </w:pPr>
      <w:r>
        <w:rPr/>
      </w:r>
    </w:p>
    <w:p>
      <w:pPr>
        <w:pStyle w:val="PreformattedText"/>
        <w:bidi w:val="0"/>
        <w:spacing w:before="0" w:after="0"/>
        <w:jc w:val="left"/>
        <w:rPr/>
      </w:pPr>
      <w:r>
        <w:rPr/>
        <w:t>Determined not to live as “social outcasts,” Masterpiece  Cakeshop, 584 U. S., at ___ (slip op., at 9), LGBT people  have risen up. The social movement for LGBT rights has  been long and complex. See L. Faderman, The Gay Revolution (2015) (Faderman). But if there ever was an “earth quake,” it occurred in the final days of June in 1969 at the Stonewall Inn in Greenwich Village. Id., at 169. The Stone wall Inn was a gay bar with a “varied and lively clientele.”</w:t>
      </w:r>
    </w:p>
    <w:p>
      <w:pPr>
        <w:pStyle w:val="PreformattedText"/>
        <w:bidi w:val="0"/>
        <w:spacing w:before="0" w:after="0"/>
        <w:jc w:val="left"/>
        <w:rPr/>
      </w:pPr>
      <w:r>
        <w:rPr/>
      </w:r>
    </w:p>
    <w:p>
      <w:pPr>
        <w:pStyle w:val="PreformattedText"/>
        <w:bidi w:val="0"/>
        <w:spacing w:before="0" w:after="0"/>
        <w:jc w:val="left"/>
        <w:rPr/>
      </w:pPr>
      <w:r>
        <w:rPr/>
        <w:t>Id., at 171. Its “‘unruly’ element” made it “an especially  inviting target” for police raids. J. D’Emilio, Sexual Politics, Sexual Communities 231 (1983) (D’Emilio). “Patrons  of the Stonewall tended to be young and nonwhite. Many were drag queens. . . . ” Ibid. Just before midnight on June  27, the New York police’s Public Morals Squad showed up  to the bar and started making arrests. Drag queens, for  example, were arrested for offenses like being “disguised”  in “unnatural attire.” N. Y. Penal Law Ann. §240.35(4)  (West 1967).</w:t>
      </w:r>
    </w:p>
    <w:p>
      <w:pPr>
        <w:pStyle w:val="PreformattedText"/>
        <w:bidi w:val="0"/>
        <w:spacing w:before="0" w:after="0"/>
        <w:jc w:val="left"/>
        <w:rPr/>
      </w:pPr>
      <w:r>
        <w:rPr/>
      </w:r>
    </w:p>
    <w:p>
      <w:pPr>
        <w:pStyle w:val="PreformattedText"/>
        <w:bidi w:val="0"/>
        <w:spacing w:before="0" w:after="0"/>
        <w:jc w:val="left"/>
        <w:rPr/>
      </w:pPr>
      <w:r>
        <w:rPr/>
        <w:t>What started out as a fairly routine police raid, however, became anything but. Outside the Stonewall Inn, patrons who had been thrown out started to form a crowd. “Jeers  and catcalls arose from the onlookers when a paddy wagon departed with the bartender, the Stonewall’s bouncer, and three drag queens.” D’Emilio 231. “A few minutes later, an  officer attempted to steer the last of the patrons, a lesbian,  through the bystanders to a nearby patrol car.” Id., at 231–  232. When she started to struggle, protests erupted. They lasted into the night and continued into the next. News of  the Stonewall protests “spread rapidly,” and “within a year  gay liberation groups had sprung into existence on college campuses and in cities around the nation.” Id., at 233.  From there, the path to LGBT rights has not been quick or  easy. Nor is it over. Still, change has come: change in social attitudes, in representation, and in legal institutions.  Faderman 535–629.</w:t>
      </w:r>
    </w:p>
    <w:p>
      <w:pPr>
        <w:pStyle w:val="PreformattedText"/>
        <w:bidi w:val="0"/>
        <w:spacing w:before="0" w:after="0"/>
        <w:jc w:val="left"/>
        <w:rPr/>
      </w:pPr>
      <w:r>
        <w:rPr/>
      </w:r>
    </w:p>
    <w:p>
      <w:pPr>
        <w:pStyle w:val="PreformattedText"/>
        <w:bidi w:val="0"/>
        <w:spacing w:before="0" w:after="0"/>
        <w:jc w:val="left"/>
        <w:rPr/>
      </w:pPr>
      <w:r>
        <w:rPr/>
        <w:t>One significant change has been the addition of sexual orientation and gender identity to public accommodations  laws. State and local legislatures took note of the failure of  such laws to protect LGBT people and, in response, acted to guarantee them “all the privileges . . . of any other member of society.” Hearings on S. B. 200 before the House Judiciary Committee, 66th Gen. Assem., 2d Reg. Sess., 4, 11–12 (Colo. 2008) (remarks of Sen. Judd). Colorado thus  amended its antidiscrimination law in 2008 to prohibit the  denial of publicly available goods or services on the basis of  “sexual orientation.” 2008 Colo. Sess. Laws. ch. 341, pp.  1596–1597. About half of the States now provide such protctions.8 It is “‘unexceptional’” that they may do so. Ante,  at 13 (quoting Masterpiece Cakeshop, 584 U. S., at ___ (slip op., at 10)). “These are protections taken for granted by most people either because they already have them or do not need them; these are protections against exclusion from  an almost limitless number of transactions and endeavors  that constitute ordinary civic life in a free society.” Romer  v. Evans, 517 U. S. 620, 631 (1996). LGBT people do not  seek any special treatment. All they seek is to exist in pub lic. To inhabit public spaces on the same terms and conditions as everyone else.</w:t>
      </w:r>
    </w:p>
    <w:p>
      <w:pPr>
        <w:pStyle w:val="PreformattedText"/>
        <w:bidi w:val="0"/>
        <w:spacing w:before="0" w:after="0"/>
        <w:jc w:val="left"/>
        <w:rPr/>
      </w:pPr>
      <w:r>
        <w:rPr/>
      </w:r>
    </w:p>
    <w:p>
      <w:pPr>
        <w:pStyle w:val="PreformattedText"/>
        <w:bidi w:val="0"/>
        <w:spacing w:before="0" w:after="0"/>
        <w:jc w:val="left"/>
        <w:rPr/>
      </w:pPr>
      <w:r>
        <w:rPr/>
        <w:t>C</w:t>
      </w:r>
    </w:p>
    <w:p>
      <w:pPr>
        <w:pStyle w:val="PreformattedText"/>
        <w:bidi w:val="0"/>
        <w:spacing w:before="0" w:after="0"/>
        <w:jc w:val="left"/>
        <w:rPr/>
      </w:pPr>
      <w:r>
        <w:rPr/>
      </w:r>
    </w:p>
    <w:p>
      <w:pPr>
        <w:pStyle w:val="PreformattedText"/>
        <w:bidi w:val="0"/>
        <w:spacing w:before="0" w:after="0"/>
        <w:jc w:val="left"/>
        <w:rPr/>
      </w:pPr>
      <w:r>
        <w:rPr/>
        <w:t>Yet for as long as public accommodations laws have been around, businesses have sought exemptions from them.  The civil rights and women’s liberation eras are prominent  examples of this. Backlashes to race and sex equality gave  rise to legal claims of rights to discriminate, including claims based on First Amendment freedoms of expression and association. This Court was unwavering in its rejection of those claims, as invidious discrimination “has never been  accorded affirmative constitutional protections.” Norwood  v. Harrison, 413 U. S. 455, 470 (1973). In particular, the refusal to deal with or to serve a class of people is not an  expressive interest protected by the First Amendment.</w:t>
      </w:r>
    </w:p>
    <w:p>
      <w:pPr>
        <w:pStyle w:val="PreformattedText"/>
        <w:bidi w:val="0"/>
        <w:spacing w:before="0" w:after="0"/>
        <w:jc w:val="left"/>
        <w:rPr/>
      </w:pPr>
      <w:r>
        <w:rPr/>
      </w:r>
    </w:p>
    <w:p>
      <w:pPr>
        <w:pStyle w:val="PreformattedText"/>
        <w:bidi w:val="0"/>
        <w:spacing w:before="0" w:after="0"/>
        <w:jc w:val="left"/>
        <w:rPr/>
      </w:pPr>
      <w:r>
        <w:rPr/>
        <w:t>1</w:t>
      </w:r>
    </w:p>
    <w:p>
      <w:pPr>
        <w:pStyle w:val="PreformattedText"/>
        <w:bidi w:val="0"/>
        <w:spacing w:before="0" w:after="0"/>
        <w:jc w:val="left"/>
        <w:rPr/>
      </w:pPr>
      <w:r>
        <w:rPr/>
      </w:r>
    </w:p>
    <w:p>
      <w:pPr>
        <w:pStyle w:val="PreformattedText"/>
        <w:bidi w:val="0"/>
        <w:spacing w:before="0" w:after="0"/>
        <w:jc w:val="left"/>
        <w:rPr/>
      </w:pPr>
      <w:r>
        <w:rPr/>
        <w:t>Opponents of the Civil Rights Act of 1964 objected that the law would force business owners to defy their beliefs.</w:t>
      </w:r>
    </w:p>
    <w:p>
      <w:pPr>
        <w:pStyle w:val="PreformattedText"/>
        <w:bidi w:val="0"/>
        <w:spacing w:before="0" w:after="0"/>
        <w:jc w:val="left"/>
        <w:rPr/>
      </w:pPr>
      <w:r>
        <w:rPr/>
      </w:r>
    </w:p>
    <w:p>
      <w:pPr>
        <w:pStyle w:val="PreformattedText"/>
        <w:bidi w:val="0"/>
        <w:spacing w:before="0" w:after="0"/>
        <w:jc w:val="left"/>
        <w:rPr/>
      </w:pPr>
      <w:r>
        <w:rPr/>
        <w:t>Cf. ante, at 3. They argued that the Act would deny them “any freedom to speak or to act on the basis of their religious  convictions or their deep-rooted preferences for associating or not associating with certain classifications of people.”</w:t>
      </w:r>
    </w:p>
    <w:p>
      <w:pPr>
        <w:pStyle w:val="PreformattedText"/>
        <w:bidi w:val="0"/>
        <w:spacing w:before="0" w:after="0"/>
        <w:jc w:val="left"/>
        <w:rPr/>
      </w:pPr>
      <w:r>
        <w:rPr/>
      </w:r>
    </w:p>
    <w:p>
      <w:pPr>
        <w:pStyle w:val="PreformattedText"/>
        <w:bidi w:val="0"/>
        <w:spacing w:before="0" w:after="0"/>
        <w:jc w:val="left"/>
        <w:rPr/>
      </w:pPr>
      <w:r>
        <w:rPr/>
        <w:t>110 Cong. Rec. 7778 (1964) (remarks of Sen. Tower). Congress rejected those arguments. Title II of the Act, in particular, did not invade “rights of privacy [or] of free association,” Congress concluded, because the establishments covered by the law were “those regularly held open to the public in general.” H. R. Rep. No. 914, 88th Cong., 1st Sess., pt. 2, p. 9 (1963); see also S. Rep. No. 872, at 92. Having failed to persuade Congress, opponents of Title II  turned to the federal courts. In Heart of Atlanta Motel, one  of several arguments made by the plaintiff motel owner was that Title II violated his Fifth Amendment due process rights by “tak[ing] away the personal liberty of an individual to run his business as he sees fit with respect to the  selection and service of his customers.” Brief for Appellant,  O. T. 1964, No. 515, p. 32. This Court disagreed, based on “a long line of cases” holding that “prohibition of racial discrimination in public accommodations” did not “interfer[e] with personal liberty.” 379 U. S., at 260.</w:t>
      </w:r>
    </w:p>
    <w:p>
      <w:pPr>
        <w:pStyle w:val="PreformattedText"/>
        <w:bidi w:val="0"/>
        <w:spacing w:before="0" w:after="0"/>
        <w:jc w:val="left"/>
        <w:rPr/>
      </w:pPr>
      <w:r>
        <w:rPr/>
      </w:r>
    </w:p>
    <w:p>
      <w:pPr>
        <w:pStyle w:val="PreformattedText"/>
        <w:bidi w:val="0"/>
        <w:spacing w:before="0" w:after="0"/>
        <w:jc w:val="left"/>
        <w:rPr/>
      </w:pPr>
      <w:r>
        <w:rPr/>
        <w:t>In Katzenbach v. McClung, 379 U. S. 294 (1964), the owner of Ollie’s Barbecue (Ollie McClung) likewise argued that Title II’s application to his business violated the “per sonal rights of persons in their personal convictions” to deny services to Black people. Brief for Appellees, O. T.</w:t>
      </w:r>
    </w:p>
    <w:p>
      <w:pPr>
        <w:pStyle w:val="PreformattedText"/>
        <w:bidi w:val="0"/>
        <w:spacing w:before="0" w:after="0"/>
        <w:jc w:val="left"/>
        <w:rPr/>
      </w:pPr>
      <w:r>
        <w:rPr/>
      </w:r>
    </w:p>
    <w:p>
      <w:pPr>
        <w:pStyle w:val="PreformattedText"/>
        <w:bidi w:val="0"/>
        <w:spacing w:before="0" w:after="0"/>
        <w:jc w:val="left"/>
        <w:rPr/>
      </w:pPr>
      <w:r>
        <w:rPr/>
        <w:t>1964, No. 543, p. 33 (citing, inter alia, West Virginia Bd. of  Ed. v. Barnette, 319 U. S. 624 (1943)). Note that McClung  did not refuse to transact with Black people. Oh, no. He  was willing to offer them take-out service at a separate  counter. See Brief for NAACP Legal Defense and Educational Fund, Inc., as Amicus Curiae in Katzenbach v.  McClung, p. 4, n. 5. Only integrated table service, you see,  violated McClung’s core beliefs. So he claimed a constitu tional right to offer Black people a limited menu of his ser vices. This Court rejected that claim, citing its decision in Heart of Atlanta Motel. See 379 U. S., at 298, n. 1.  Next is Newman v. Piggie Park Enterprises, Inc., 390  U. S. 400 (1968) (per curiam), in which the owner of a chain of drive-in establishments asserted that requiring him to  “contribut[e]” to racial integration in any way violated the First Amendment by interfering with his religious liberty.</w:t>
      </w:r>
    </w:p>
    <w:p>
      <w:pPr>
        <w:pStyle w:val="PreformattedText"/>
        <w:bidi w:val="0"/>
        <w:spacing w:before="0" w:after="0"/>
        <w:jc w:val="left"/>
        <w:rPr/>
      </w:pPr>
      <w:r>
        <w:rPr/>
      </w:r>
    </w:p>
    <w:p>
      <w:pPr>
        <w:pStyle w:val="PreformattedText"/>
        <w:bidi w:val="0"/>
        <w:spacing w:before="0" w:after="0"/>
        <w:jc w:val="left"/>
        <w:rPr/>
      </w:pPr>
      <w:r>
        <w:rPr/>
        <w:t>App. to Pet. for Cert., O. T. 1967, No. 339, p. 21a. Title II  could not be applied to his business, he argued, because that would “‘controven[e] the will of God.’” 390 U. S., at 402–  403, n. 5. The Court found this argument “patently frivoous.” Ibid.</w:t>
      </w:r>
    </w:p>
    <w:p>
      <w:pPr>
        <w:pStyle w:val="PreformattedText"/>
        <w:bidi w:val="0"/>
        <w:spacing w:before="0" w:after="0"/>
        <w:jc w:val="left"/>
        <w:rPr/>
      </w:pPr>
      <w:r>
        <w:rPr/>
      </w:r>
    </w:p>
    <w:p>
      <w:pPr>
        <w:pStyle w:val="PreformattedText"/>
        <w:bidi w:val="0"/>
        <w:spacing w:before="0" w:after="0"/>
        <w:jc w:val="left"/>
        <w:rPr/>
      </w:pPr>
      <w:r>
        <w:rPr/>
        <w:t>Last but not least is Runyon v. McCrary, 427 U. S. 160  (1976), a case the majority studiously avoids. In Runyon,  the Court confronted the question whether “commercially operated” schools had a First Amendment right to exclude Black children, notwithstanding a federal law against racial discrimination in contracting. Id., at 168; see 42  U. S. C. §1981. The schools in question offered “educational services” for sale to “the general public.” 427 U. S., at 172.</w:t>
      </w:r>
    </w:p>
    <w:p>
      <w:pPr>
        <w:pStyle w:val="PreformattedText"/>
        <w:bidi w:val="0"/>
        <w:spacing w:before="0" w:after="0"/>
        <w:jc w:val="left"/>
        <w:rPr/>
      </w:pPr>
      <w:r>
        <w:rPr/>
      </w:r>
    </w:p>
    <w:p>
      <w:pPr>
        <w:pStyle w:val="PreformattedText"/>
        <w:bidi w:val="0"/>
        <w:spacing w:before="0" w:after="0"/>
        <w:jc w:val="left"/>
        <w:rPr/>
      </w:pPr>
      <w:r>
        <w:rPr/>
        <w:t>They argued that the law, as applied to them, violated their  First Amendment rights of “freedom of speech, and association.” Pet. for Cert., O. T. 1976, No. 75–62, p. 6; see also Brief for Petitioners, O. T. 1976, No. 75–62, p. 12 (“Freedom to teach, to express ideas”). The Court, however, reasoned  that the schools’ “practice” of denying educational services to racial minorities was not shielded by the First Amendment, for two reasons: First, “the Constitution places no  value on discrimination.” 427 U. S., at 176 (alterations and  internal quotations marks omitted). Second, the government’s regulation of conduct did not “inhibit” the schools’ ability to teach its preferred “ideas or dogma.” Ibid. (internal quotation marks omitted). Requiring the schools to abide by an antidiscrimination law was not the same thing  as compelling the schools to express teachings contrary to their sincerely held “belief that racial segregation is desirable.” Ibid.</w:t>
      </w:r>
    </w:p>
    <w:p>
      <w:pPr>
        <w:pStyle w:val="PreformattedText"/>
        <w:bidi w:val="0"/>
        <w:spacing w:before="0" w:after="0"/>
        <w:jc w:val="left"/>
        <w:rPr/>
      </w:pPr>
      <w:r>
        <w:rPr/>
      </w:r>
    </w:p>
    <w:p>
      <w:pPr>
        <w:pStyle w:val="PreformattedText"/>
        <w:bidi w:val="0"/>
        <w:spacing w:before="0" w:after="0"/>
        <w:jc w:val="left"/>
        <w:rPr/>
      </w:pPr>
      <w:r>
        <w:rPr/>
        <w:t>2</w:t>
      </w:r>
    </w:p>
    <w:p>
      <w:pPr>
        <w:pStyle w:val="PreformattedText"/>
        <w:bidi w:val="0"/>
        <w:spacing w:before="0" w:after="0"/>
        <w:jc w:val="left"/>
        <w:rPr/>
      </w:pPr>
      <w:r>
        <w:rPr/>
      </w:r>
    </w:p>
    <w:p>
      <w:pPr>
        <w:pStyle w:val="PreformattedText"/>
        <w:bidi w:val="0"/>
        <w:spacing w:before="0" w:after="0"/>
        <w:jc w:val="left"/>
        <w:rPr/>
      </w:pPr>
      <w:r>
        <w:rPr/>
        <w:t>First Amendment rights of expression and association  were also raised to challenge laws against sex discrimination. In Roberts v. United States Jaycees, the United States  Jaycees sought an exemption from a Minnesota law that  forbids discrimination on the basis of sex in public accommodations. The U. S. Jaycees was a civic organization, which until then had denied admission to women. The organization alleged that applying the law to require it to include women would violate its “members’ constitutional  rights of free speech and association.” 468 U. S., at 615.  “The power of the state to change the membership of an organization is inevitably the power to change the way in  which it speaks,” the Jaycees argued. Brief for Appellee, O. T. 1983, No. 83–724, p. 19 (emphasis added). Thus, “the  right of the Jaycees to decide its own membership” was “in separable,” in its view, “from its ability to freely express it self.” Ibid.</w:t>
      </w:r>
    </w:p>
    <w:p>
      <w:pPr>
        <w:pStyle w:val="PreformattedText"/>
        <w:bidi w:val="0"/>
        <w:spacing w:before="0" w:after="0"/>
        <w:jc w:val="left"/>
        <w:rPr/>
      </w:pPr>
      <w:r>
        <w:rPr/>
      </w:r>
    </w:p>
    <w:p>
      <w:pPr>
        <w:pStyle w:val="PreformattedText"/>
        <w:bidi w:val="0"/>
        <w:spacing w:before="0" w:after="0"/>
        <w:jc w:val="left"/>
        <w:rPr/>
      </w:pPr>
      <w:r>
        <w:rPr/>
        <w:t>This Court took a different view. The Court held that the  “application of the Minnesota statute to compel the Jaycees  to accept women” did not infringe the organization’s First  Amendment “freedom of expressive association.” Roberts,  468 U. S., at 622. That was so because the State’s public accommodations law did “not aim at the suppression of  speech” and did “not distinguish between prohibited and  permitted activity on the basis of viewpoint.” Id., at 623–  624. If the State had applied the law “for the purpose of  hampering the organization’s ability to express its views,”  that would be a different matter. Id., at 624 (emphasis  added). “Instead,” the law’s purpose was “eliminating discrimination and assuring [the State’s] citizens equal access to publicly available goods and services.” Ibid. “That goal,” the Court reasoned, “was unrelated to the suppression of expression” and “plainly serves compelling state interests of the highest order.” Ibid.</w:t>
      </w:r>
    </w:p>
    <w:p>
      <w:pPr>
        <w:pStyle w:val="PreformattedText"/>
        <w:bidi w:val="0"/>
        <w:spacing w:before="0" w:after="0"/>
        <w:jc w:val="left"/>
        <w:rPr/>
      </w:pPr>
      <w:r>
        <w:rPr/>
      </w:r>
    </w:p>
    <w:p>
      <w:pPr>
        <w:pStyle w:val="PreformattedText"/>
        <w:bidi w:val="0"/>
        <w:spacing w:before="0" w:after="0"/>
        <w:jc w:val="left"/>
        <w:rPr/>
      </w:pPr>
      <w:r>
        <w:rPr/>
        <w:t>Justice O’Connor concurred in part and concurred in the  judgment. See id., at 631. She stressed that the U. S. Jaycees was a predominantly commercial entity open to the public. And she took the view that there was a First  Amendment “dichotomy” between rights of commercial and expressive association. Id., at 634. The State, for example,  was “free to impose any rational regulation” on commercial  transactions themselves. “A shopkeeper,” Justice O’Connor explained, “has no constitutional right to deal only with persons of one sex.” Ibid.</w:t>
      </w:r>
    </w:p>
    <w:p>
      <w:pPr>
        <w:pStyle w:val="PreformattedText"/>
        <w:bidi w:val="0"/>
        <w:spacing w:before="0" w:after="0"/>
        <w:jc w:val="left"/>
        <w:rPr/>
      </w:pPr>
      <w:r>
        <w:rPr/>
      </w:r>
    </w:p>
    <w:p>
      <w:pPr>
        <w:pStyle w:val="PreformattedText"/>
        <w:bidi w:val="0"/>
        <w:spacing w:before="0" w:after="0"/>
        <w:jc w:val="left"/>
        <w:rPr/>
      </w:pPr>
      <w:r>
        <w:rPr/>
        <w:t>II</w:t>
      </w:r>
    </w:p>
    <w:p>
      <w:pPr>
        <w:pStyle w:val="PreformattedText"/>
        <w:bidi w:val="0"/>
        <w:spacing w:before="0" w:after="0"/>
        <w:jc w:val="left"/>
        <w:rPr/>
      </w:pPr>
      <w:r>
        <w:rPr/>
      </w:r>
    </w:p>
    <w:p>
      <w:pPr>
        <w:pStyle w:val="PreformattedText"/>
        <w:bidi w:val="0"/>
        <w:spacing w:before="0" w:after="0"/>
        <w:jc w:val="left"/>
        <w:rPr/>
      </w:pPr>
      <w:r>
        <w:rPr/>
        <w:t>Battling discrimination is like “battling the Hydra.”  Shelby County v. Holder, 570 U. S. 529, 560 (2013) (Gins burg, J., dissenting). Whenever you defeat “one form of discrimination,” another “spr[ings] up in its place.” Ibid.  Time and again, businesses and other commercial entities have claimed constitutional rights to discriminate. And  time and again, this Court has courageously stood up to  those claims—until today. Today, the Court shrinks. A  business claims that it would like to sell wedding websites  to the general public, yet deny those same websites to gay and lesbian couples. Under state law, the business is free  to include, or not to include, any lawful message it wants in its wedding websites. The only thing the business may not  do is deny whatever websites it offers on the basis of sexual  orientation. This Court, however, grants the business a  broad exemption from state law and allows the business to  post a notice that says: Wedding websites will be refused to gays and lesbians. The Court’s decision, which conflates  denial of service and protected expression, is a grave error.</w:t>
      </w:r>
    </w:p>
    <w:p>
      <w:pPr>
        <w:pStyle w:val="PreformattedText"/>
        <w:bidi w:val="0"/>
        <w:spacing w:before="0" w:after="0"/>
        <w:jc w:val="left"/>
        <w:rPr/>
      </w:pPr>
      <w:r>
        <w:rPr/>
      </w:r>
    </w:p>
    <w:p>
      <w:pPr>
        <w:pStyle w:val="PreformattedText"/>
        <w:bidi w:val="0"/>
        <w:spacing w:before="0" w:after="0"/>
        <w:jc w:val="left"/>
        <w:rPr/>
      </w:pPr>
      <w:r>
        <w:rPr/>
        <w:t>A</w:t>
      </w:r>
    </w:p>
    <w:p>
      <w:pPr>
        <w:pStyle w:val="PreformattedText"/>
        <w:bidi w:val="0"/>
        <w:spacing w:before="0" w:after="0"/>
        <w:jc w:val="left"/>
        <w:rPr/>
      </w:pPr>
      <w:r>
        <w:rPr/>
      </w:r>
    </w:p>
    <w:p>
      <w:pPr>
        <w:pStyle w:val="PreformattedText"/>
        <w:bidi w:val="0"/>
        <w:spacing w:before="0" w:after="0"/>
        <w:jc w:val="left"/>
        <w:rPr/>
      </w:pPr>
      <w:r>
        <w:rPr/>
        <w:t>303 Creative LLC is a limited liability company that sells graphic and website designs for profit. Lorie Smith is the  company’s founder and sole member-owner. Smith believes  same-sex marriages are “false,” because “‘God’s true story  of marriage’” is a story of a “‘union between one man and  one woman.’” Brief for Petitioners 4, 6–7 (quoting App. to Pet. for Cert. 188a, 189a); Tr. of Oral Arg. 36, 40–41. Same sex marriage, according to her, “violates God’s will” and  “harms society and children.” App. to Pet. for Cert. 186a.</w:t>
      </w:r>
    </w:p>
    <w:p>
      <w:pPr>
        <w:pStyle w:val="PreformattedText"/>
        <w:bidi w:val="0"/>
        <w:spacing w:before="0" w:after="0"/>
        <w:jc w:val="left"/>
        <w:rPr/>
      </w:pPr>
      <w:r>
        <w:rPr/>
      </w:r>
    </w:p>
    <w:p>
      <w:pPr>
        <w:pStyle w:val="PreformattedText"/>
        <w:bidi w:val="0"/>
        <w:spacing w:before="0" w:after="0"/>
        <w:jc w:val="left"/>
        <w:rPr/>
      </w:pPr>
      <w:r>
        <w:rPr/>
        <w:t>303 Creative has never sold wedding websites. Smith  now believes, however, that “God is calling her ‘to explain His true story about marriage.’” Brief for Petitioners 7  (quoting App. to Pet. for Cert. 188a). For that reason, she  says, she wants her for-profit company to enter the wedding website business. There is only one thing: Smith would like  her company to sell wedding websites “to the public,” App. to Pet. for Cert. 189a; Colo. Rev. Stat. §24–34–601(1), but not to same-sex couples. She also wants to post a notice on the company’s website announcing this intent to discriminate. App. to Pet. for Cert. 188a–189a. In Smith’s view, “it  would violate [her] sincerely held religious beliefs to create  a wedding website for a same-sex wedding because, by doing so, [she] would be expressing a message celebrating and  promoting a conception of marriage that [she] believe[s] is  contrary to God’s design.” Id., at 189a.</w:t>
      </w:r>
    </w:p>
    <w:p>
      <w:pPr>
        <w:pStyle w:val="PreformattedText"/>
        <w:bidi w:val="0"/>
        <w:spacing w:before="0" w:after="0"/>
        <w:jc w:val="left"/>
        <w:rPr/>
      </w:pPr>
      <w:r>
        <w:rPr/>
      </w:r>
    </w:p>
    <w:p>
      <w:pPr>
        <w:pStyle w:val="PreformattedText"/>
        <w:bidi w:val="0"/>
        <w:spacing w:before="0" w:after="0"/>
        <w:jc w:val="left"/>
        <w:rPr/>
      </w:pPr>
      <w:r>
        <w:rPr/>
        <w:t>Again, Smith’s company has never sold a wedding web site to any customer. Colorado, therefore, has never had to enforce its antidiscrimination laws against the company.</w:t>
      </w:r>
    </w:p>
    <w:p>
      <w:pPr>
        <w:pStyle w:val="PreformattedText"/>
        <w:bidi w:val="0"/>
        <w:spacing w:before="0" w:after="0"/>
        <w:jc w:val="left"/>
        <w:rPr/>
      </w:pPr>
      <w:r>
        <w:rPr/>
      </w:r>
    </w:p>
    <w:p>
      <w:pPr>
        <w:pStyle w:val="PreformattedText"/>
        <w:bidi w:val="0"/>
        <w:spacing w:before="0" w:after="0"/>
        <w:jc w:val="left"/>
        <w:rPr/>
      </w:pPr>
      <w:r>
        <w:rPr/>
        <w:t>As the majority puts it, however, Smith “worries that, if she  enters the wedding website business, the State will force her to convey messages inconsistent with her belief that  marriage should be reserved to unions between one man  and one woman.” Ante, at 2. So Smith and her company, the petitioners here, sued the State in federal court. They sought a court decree giving them a special exemption from  CADA’s Accommodation Clause (which, remember, makes  it unlawful for a business to hold itself out to the public yet  deny to any individual, because of sexual orientation, the full and equal enjoyment of the business’s goods or services,  see supra, at 3–4) and CADA’s Communication Clause  (which makes it unlawful to advertise that goods or services  will be denied because of sexual orientation, see supra,  at 4). App. 303–304.</w:t>
      </w:r>
    </w:p>
    <w:p>
      <w:pPr>
        <w:pStyle w:val="PreformattedText"/>
        <w:bidi w:val="0"/>
        <w:spacing w:before="0" w:after="0"/>
        <w:jc w:val="left"/>
        <w:rPr/>
      </w:pPr>
      <w:r>
        <w:rPr/>
      </w:r>
    </w:p>
    <w:p>
      <w:pPr>
        <w:pStyle w:val="PreformattedText"/>
        <w:bidi w:val="0"/>
        <w:spacing w:before="0" w:after="0"/>
        <w:jc w:val="left"/>
        <w:rPr/>
      </w:pPr>
      <w:r>
        <w:rPr/>
        <w:t>The breadth of petitioners’ pre-enforcement challenge is  astounding. According to Smith, the Free Speech Clause of the First Amendment entitles her company to refuse to sell  any “websites for same-sex weddings,” even though the company plans to offer wedding websites to the general  public. Ibid.; see also Brief for Petitioners 22–23, and n. 2;  Tr. of Oral Arg. 37–38. In other words, the company claims  a categorical exemption from a public accommodations law  simply because the company sells expressive services. The  sweeping nature of this claim should have led this Court to reject it.</w:t>
      </w:r>
    </w:p>
    <w:p>
      <w:pPr>
        <w:pStyle w:val="PreformattedText"/>
        <w:bidi w:val="0"/>
        <w:spacing w:before="0" w:after="0"/>
        <w:jc w:val="left"/>
        <w:rPr/>
      </w:pPr>
      <w:r>
        <w:rPr/>
      </w:r>
    </w:p>
    <w:p>
      <w:pPr>
        <w:pStyle w:val="PreformattedText"/>
        <w:bidi w:val="0"/>
        <w:spacing w:before="0" w:after="0"/>
        <w:jc w:val="left"/>
        <w:rPr/>
      </w:pPr>
      <w:r>
        <w:rPr/>
        <w:t>B</w:t>
      </w:r>
    </w:p>
    <w:p>
      <w:pPr>
        <w:pStyle w:val="PreformattedText"/>
        <w:bidi w:val="0"/>
        <w:spacing w:before="0" w:after="0"/>
        <w:jc w:val="left"/>
        <w:rPr/>
      </w:pPr>
      <w:r>
        <w:rPr/>
      </w:r>
    </w:p>
    <w:p>
      <w:pPr>
        <w:pStyle w:val="PreformattedText"/>
        <w:bidi w:val="0"/>
        <w:spacing w:before="0" w:after="0"/>
        <w:jc w:val="left"/>
        <w:rPr/>
      </w:pPr>
      <w:r>
        <w:rPr/>
        <w:t>The First Amendment does not entitle petitioners to a  special exemption from a state law that simply requires  them to serve all members of the public on equal terms. Such a law does not directly regulate petitioners’ speech at all, and petitioners may not escape the law by claiming an  expressive interest in discrimination. The First Amendment likewise does not exempt petitioners from the law’s prohibition on posting a notice that they will deny goods or  services based on sexual orientation.</w:t>
      </w:r>
    </w:p>
    <w:p>
      <w:pPr>
        <w:pStyle w:val="PreformattedText"/>
        <w:bidi w:val="0"/>
        <w:spacing w:before="0" w:after="0"/>
        <w:jc w:val="left"/>
        <w:rPr/>
      </w:pPr>
      <w:r>
        <w:rPr/>
      </w:r>
    </w:p>
    <w:p>
      <w:pPr>
        <w:pStyle w:val="PreformattedText"/>
        <w:bidi w:val="0"/>
        <w:spacing w:before="0" w:after="0"/>
        <w:jc w:val="left"/>
        <w:rPr/>
      </w:pPr>
      <w:r>
        <w:rPr/>
        <w:t>1</w:t>
      </w:r>
    </w:p>
    <w:p>
      <w:pPr>
        <w:pStyle w:val="PreformattedText"/>
        <w:bidi w:val="0"/>
        <w:spacing w:before="0" w:after="0"/>
        <w:jc w:val="left"/>
        <w:rPr/>
      </w:pPr>
      <w:r>
        <w:rPr/>
      </w:r>
    </w:p>
    <w:p>
      <w:pPr>
        <w:pStyle w:val="PreformattedText"/>
        <w:bidi w:val="0"/>
        <w:spacing w:before="0" w:after="0"/>
        <w:jc w:val="left"/>
        <w:rPr/>
      </w:pPr>
      <w:r>
        <w:rPr/>
        <w:t>This Court has long held that “the First Amendment does not prevent restrictions directed at commerce or conduct  from imposing incidental burdens on speech.” Sorrell v.  IMS Health Inc., 564 U. S. 552, 567 (2011). “Congress, for example, can prohibit employers from discriminating in hiring on the basis of race. The fact that this will require an employer to take down a sign reading ‘White Applicants  Only’ hardly means that the law should be analyzed as one regulating the employer’s speech rather than conduct.”  Rumsfeld v. Forum for Academic and Institutional Rights,  Inc., 547 U. S. 47, 62 (2006) (FAIR). This principle explains “why an ordinance against outdoor fires might forbid burning a flag and why antitrust laws can prohibit agreements in restraint of trade.” Sorrell, 564 U. S., at 567 (citation and  internal quotation marks omitted).</w:t>
      </w:r>
    </w:p>
    <w:p>
      <w:pPr>
        <w:pStyle w:val="PreformattedText"/>
        <w:bidi w:val="0"/>
        <w:spacing w:before="0" w:after="0"/>
        <w:jc w:val="left"/>
        <w:rPr/>
      </w:pPr>
      <w:r>
        <w:rPr/>
      </w:r>
    </w:p>
    <w:p>
      <w:pPr>
        <w:pStyle w:val="PreformattedText"/>
        <w:bidi w:val="0"/>
        <w:spacing w:before="0" w:after="0"/>
        <w:jc w:val="left"/>
        <w:rPr/>
      </w:pPr>
      <w:r>
        <w:rPr/>
        <w:t>Consider United States v. O’Brien, 391 U. S. 367 (1968).  In that case, the Court upheld the application of a law  against the destruction of draft cards to a defendant who had burned his draft card to protest the Vietnam War. The  protester’s conduct was indisputably expressive. Indeed, it  was political expression, which lies at the heart of the First  Amendment. Whitney v. California, 274 U. S. 357, 375  (1927) (Brandeis, J., concurring). Yet the O’Brien Court focused on whether the Government’s interest in regulating the conduct was to burden expression. Because it was not, the regulation was subject to lesser constitutional scrutiny.</w:t>
      </w:r>
    </w:p>
    <w:p>
      <w:pPr>
        <w:pStyle w:val="PreformattedText"/>
        <w:bidi w:val="0"/>
        <w:spacing w:before="0" w:after="0"/>
        <w:jc w:val="left"/>
        <w:rPr/>
      </w:pPr>
      <w:r>
        <w:rPr/>
      </w:r>
    </w:p>
    <w:p>
      <w:pPr>
        <w:pStyle w:val="PreformattedText"/>
        <w:bidi w:val="0"/>
        <w:spacing w:before="0" w:after="0"/>
        <w:jc w:val="left"/>
        <w:rPr/>
      </w:pPr>
      <w:r>
        <w:rPr/>
        <w:t>391 U. S., at 376–377, 381–382; Clark v. Community for  Creative Non-Violence, 468 U. S. 288, 294, 299 (1984). The  O’Brien standard is satisfied if a regulation is unrelated to the suppression of expression and “‘promotes a substantial  government interest that would be achieved less effectively absent the regulation.’” FAIR, 547 U. S., at 67 (quoting  United States v. Albertini, 472 U. S. 675, 689 (1985)).9  FAIR confronted the interaction between this principle and an equal-access law. The law at issue was the Solomon  Amendment, which prohibits an institution of higher education in receipt of federal funding from denying a military  recruiter “the same access to its campus and students that it provides to the nonmilitary recruiter receiving the most favorable access.” 547 U. S., at 55; see 10 U. S. C. §983(b).</w:t>
      </w:r>
    </w:p>
    <w:p>
      <w:pPr>
        <w:pStyle w:val="PreformattedText"/>
        <w:bidi w:val="0"/>
        <w:spacing w:before="0" w:after="0"/>
        <w:jc w:val="left"/>
        <w:rPr/>
      </w:pPr>
      <w:r>
        <w:rPr/>
      </w:r>
    </w:p>
    <w:p>
      <w:pPr>
        <w:pStyle w:val="PreformattedText"/>
        <w:bidi w:val="0"/>
        <w:spacing w:before="0" w:after="0"/>
        <w:jc w:val="left"/>
        <w:rPr/>
      </w:pPr>
      <w:r>
        <w:rPr/>
        <w:t>A group of law schools challenged the Solomon Amendment  based on their sincere objection to the military’s “Don’t Ask,  Don’t Tell” policy. For those who are too young to know,  “Don’t Ask, Don’t Tell” was a homophobic policy that barred  openly LGBT people from serving in the military. LGBT  people could serve only if they kept their identities secret.  The idea was that their open existence was a threat to the military.</w:t>
      </w:r>
    </w:p>
    <w:p>
      <w:pPr>
        <w:pStyle w:val="PreformattedText"/>
        <w:bidi w:val="0"/>
        <w:spacing w:before="0" w:after="0"/>
        <w:jc w:val="left"/>
        <w:rPr/>
      </w:pPr>
      <w:r>
        <w:rPr/>
      </w:r>
    </w:p>
    <w:p>
      <w:pPr>
        <w:pStyle w:val="PreformattedText"/>
        <w:bidi w:val="0"/>
        <w:spacing w:before="0" w:after="0"/>
        <w:jc w:val="left"/>
        <w:rPr/>
      </w:pPr>
      <w:r>
        <w:rPr/>
        <w:t>The law schools in FAIR claimed that the Solomon  Amendment infringed the schools’ First Amendment freedom of speech. The schools provided recruiting assistance in the form of emails, notices on bulletin boards, and flyers. 547 U. S., at 60–61. As the Court acknowledged, those services “clearly involve speech.” Id., at 60. And the Solomon  Amendment required “schools offering such services to other recruiters” to provide them equally “on behalf of the  military,” even if the school deeply objected to creating such  speech. Id., at 61. But that did not transform the equal  provision of services into “compelled speech” of the kind  barred by the First Amendment, because the school’s  speech was “only ‘compelled’ if, and to the extent, the school  provides such speech for other recruiters.” Id., at 62. Thus, The majority commits a fundamental error in suggesting that a law  does not regulate conduct if it ever applies to expressive activities. See  ante, at 19, 22. This would come as a great surprise to the O’Brien Court.</w:t>
      </w:r>
    </w:p>
    <w:p>
      <w:pPr>
        <w:pStyle w:val="PreformattedText"/>
        <w:bidi w:val="0"/>
        <w:spacing w:before="0" w:after="0"/>
        <w:jc w:val="left"/>
        <w:rPr/>
      </w:pPr>
      <w:r>
        <w:rPr/>
      </w:r>
    </w:p>
    <w:p>
      <w:pPr>
        <w:pStyle w:val="PreformattedText"/>
        <w:bidi w:val="0"/>
        <w:spacing w:before="0" w:after="0"/>
        <w:jc w:val="left"/>
        <w:rPr/>
      </w:pPr>
      <w:r>
        <w:rPr/>
        <w:t>26 303 CREATIVE LLC v. ELENIS</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any speech compulsion was “plainly incidental to the Solo mon Amendment’s regulation of conduct.” Ibid.</w:t>
      </w:r>
    </w:p>
    <w:p>
      <w:pPr>
        <w:pStyle w:val="PreformattedText"/>
        <w:bidi w:val="0"/>
        <w:spacing w:before="0" w:after="0"/>
        <w:jc w:val="left"/>
        <w:rPr/>
      </w:pPr>
      <w:r>
        <w:rPr/>
      </w:r>
    </w:p>
    <w:p>
      <w:pPr>
        <w:pStyle w:val="PreformattedText"/>
        <w:bidi w:val="0"/>
        <w:spacing w:before="0" w:after="0"/>
        <w:jc w:val="left"/>
        <w:rPr/>
      </w:pPr>
      <w:r>
        <w:rPr/>
        <w:t>2</w:t>
      </w:r>
    </w:p>
    <w:p>
      <w:pPr>
        <w:pStyle w:val="PreformattedText"/>
        <w:bidi w:val="0"/>
        <w:spacing w:before="0" w:after="0"/>
        <w:jc w:val="left"/>
        <w:rPr/>
      </w:pPr>
      <w:r>
        <w:rPr/>
      </w:r>
    </w:p>
    <w:p>
      <w:pPr>
        <w:pStyle w:val="PreformattedText"/>
        <w:bidi w:val="0"/>
        <w:spacing w:before="0" w:after="0"/>
        <w:jc w:val="left"/>
        <w:rPr/>
      </w:pPr>
      <w:r>
        <w:rPr/>
        <w:t>CADA’s Accommodation Clause and its application here are valid regulations of conduct. It is well settled that a  public accommodations law like the Accommodation Clause  does not “target speech or discriminate on the basis of its content.” Hurley, 515 U. S., at 572. Rather, “the focal point  of its prohibition” is “on the act of discriminating against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10The majority appears to find this discussion of the Communication  Clause upsetting. See ante, at 20–21, and n. 5. It is easy to understand  why: The Court’s prior First Amendment cases clearly explain that a ban on discrimination may require a business to take down a sign that ex presses the business owner’s intent to discriminate. See, e.g., FAIR, 547  U. S., at 62. This principle is deeply inconsistent with the majority’s position. Thus, a “straight couples only” notice, like the one the Court today allows, see App. to Pet. for Cert. 188a–189a, is itself a devastating indictment of the majority’s logic.</w:t>
      </w:r>
    </w:p>
    <w:p>
      <w:pPr>
        <w:pStyle w:val="PreformattedText"/>
        <w:bidi w:val="0"/>
        <w:spacing w:before="0" w:after="0"/>
        <w:jc w:val="left"/>
        <w:rPr/>
      </w:pPr>
      <w:r>
        <w:rPr/>
      </w:r>
    </w:p>
    <w:p>
      <w:pPr>
        <w:pStyle w:val="PreformattedText"/>
        <w:bidi w:val="0"/>
        <w:spacing w:before="0" w:after="0"/>
        <w:jc w:val="left"/>
        <w:rPr/>
      </w:pPr>
      <w:r>
        <w:rPr/>
        <w:t>Cite as: 600 U. S. ____ (2023) 27</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individuals in the provision of publicly available goods,  privileges, and services.” Ibid. (emphasis added). The  State confirms this reading of CADA. The law applies only  to status-based refusals to provide the full and equal  enjoyment of whatever services petitioners choose to sell to the public. See Brief for Respondents 15–18.</w:t>
      </w:r>
    </w:p>
    <w:p>
      <w:pPr>
        <w:pStyle w:val="PreformattedText"/>
        <w:bidi w:val="0"/>
        <w:spacing w:before="0" w:after="0"/>
        <w:jc w:val="left"/>
        <w:rPr/>
      </w:pPr>
      <w:r>
        <w:rPr/>
      </w:r>
    </w:p>
    <w:p>
      <w:pPr>
        <w:pStyle w:val="PreformattedText"/>
        <w:bidi w:val="0"/>
        <w:spacing w:before="0" w:after="0"/>
        <w:jc w:val="left"/>
        <w:rPr/>
      </w:pPr>
      <w:r>
        <w:rPr/>
        <w:t>Crucially, the law “does not dictate the content of speech  at all, which is only ‘compelled’ if, and to the extent,” the  company offers “such speech” to other customers. FAIR,  547 U. S., at 62. Colorado does not require the company to “speak [the State’s] preferred message.” Ante, at 19. Nor  does it prohibit the company from speaking the company’s preferred message. The company could, for example, offer  only wedding websites with biblical quotations describing  marriage as between one man and one woman. Brief for  Respondents 15. (Just as it could offer only t-shirts with  such quotations.) The company could also refuse to include  the words “Love is Love” if it would not provide those words  to any customer. All the company has to do is offer its services without regard to customers’ protected characteristics. Id., at 15–16. Any effect on the company’s speech is  therefore “incidental” to the State’s content-neutral regulation of conduct. FAIR, 547 U. S., at 62; see Hurley, 515  U. S., at 572–573.</w:t>
      </w:r>
    </w:p>
    <w:p>
      <w:pPr>
        <w:pStyle w:val="PreformattedText"/>
        <w:bidi w:val="0"/>
        <w:spacing w:before="0" w:after="0"/>
        <w:jc w:val="left"/>
        <w:rPr/>
      </w:pPr>
      <w:r>
        <w:rPr/>
      </w:r>
    </w:p>
    <w:p>
      <w:pPr>
        <w:pStyle w:val="PreformattedText"/>
        <w:bidi w:val="0"/>
        <w:spacing w:before="0" w:after="0"/>
        <w:jc w:val="left"/>
        <w:rPr/>
      </w:pPr>
      <w:r>
        <w:rPr/>
        <w:t>Once these features of the law are understood, it becomes  clear that petitioners’ freedom of speech is not abridged in any meaningful sense, factual or legal. Petitioners remain  free to advocate the idea that same-sex marriage betrays God’s laws. FAIR, 547 U. S., at 60; Hishon, 467 U. S., at 78;  Runyon, 427 U. S., at 176. Even if Smith believes God is  calling her to do so through her for-profit company, the company need not hold out its goods or services to the public at large. Many filmmakers, visual artists, and writers never  do. (That is why the law does not require Steven Spielberg or Banksy to make films or art for anyone who asks. But  cf. ante, at 12, 23–24.) Finally, and most importantly, even if the company offers its goods or services to the public, it  remains free under state law to decide what messages to  include or not to include. To repeat (because it escapes the majority): The company can put whatever “harmful” or  “low-value” speech it wants on its websites. It can “tell people what they do not want to hear.” Ante, at 25 (internal  quotation marks and brackets omitted). All the company may not do is offer wedding websites to the public yet refuse  those same websites to gay and lesbian couples. See Run yon, 427 U. S., at 176 (distinguishing between schools’ ability to express their bigoted view “that racial segregation is desirable” and the schools’ proscribable “practice of excluding racial minorities”).</w:t>
      </w:r>
    </w:p>
    <w:p>
      <w:pPr>
        <w:pStyle w:val="PreformattedText"/>
        <w:bidi w:val="0"/>
        <w:spacing w:before="0" w:after="0"/>
        <w:jc w:val="left"/>
        <w:rPr/>
      </w:pPr>
      <w:r>
        <w:rPr/>
      </w:r>
    </w:p>
    <w:p>
      <w:pPr>
        <w:pStyle w:val="PreformattedText"/>
        <w:bidi w:val="0"/>
        <w:spacing w:before="0" w:after="0"/>
        <w:jc w:val="left"/>
        <w:rPr/>
      </w:pPr>
      <w:r>
        <w:rPr/>
        <w:t>Another example might help to illustrate the point. A  professional photographer is generally free to choose her  subjects. She can make a living taking photos of flowers or  celebrities. The State does not regulate that choice. If the  photographer opens a portrait photography business to the  public, however, the business may not deny to any person,  because of race, sex, national origin, or other protected  characteristic, the full and equal enjoyment of whatever  services the business chooses to offer. That is so even  though portrait photography services are customized and expressive. If the business offers school photos, it may not  deny those services to multiracial children because the owner does not want to create any speech indicating that  interracial couples are acceptable. If the business offers  corporate headshots, it may not deny those services to  women because the owner believes a woman’s place is in the  home. And if the business offers passport photos, it may  not deny those services to Mexican Americans because the  owner opposes immigration from Mexico.</w:t>
      </w:r>
    </w:p>
    <w:p>
      <w:pPr>
        <w:pStyle w:val="PreformattedText"/>
        <w:bidi w:val="0"/>
        <w:spacing w:before="0" w:after="0"/>
        <w:jc w:val="left"/>
        <w:rPr/>
      </w:pPr>
      <w:r>
        <w:rPr/>
      </w:r>
    </w:p>
    <w:p>
      <w:pPr>
        <w:pStyle w:val="PreformattedText"/>
        <w:bidi w:val="0"/>
        <w:spacing w:before="0" w:after="0"/>
        <w:jc w:val="left"/>
        <w:rPr/>
      </w:pPr>
      <w:r>
        <w:rPr/>
        <w:t>The same is true for sexual-orientation discrimination. If  a photographer opens a photo booth outside of city hall and offers to sell newlywed photos captioned with the words  “Just Married,” she may not refuse to sell that service to a newlywed gay or lesbian couple, even if she believes the  couple is not, in fact, just married because in her view their  marriage is “false.” Tr. of Oral Arg. 36, 40–41.</w:t>
      </w:r>
    </w:p>
    <w:p>
      <w:pPr>
        <w:pStyle w:val="PreformattedText"/>
        <w:bidi w:val="0"/>
        <w:spacing w:before="0" w:after="0"/>
        <w:jc w:val="left"/>
        <w:rPr/>
      </w:pPr>
      <w:r>
        <w:rPr/>
      </w:r>
    </w:p>
    <w:p>
      <w:pPr>
        <w:pStyle w:val="PreformattedText"/>
        <w:bidi w:val="0"/>
        <w:spacing w:before="0" w:after="0"/>
        <w:jc w:val="left"/>
        <w:rPr/>
      </w:pPr>
      <w:r>
        <w:rPr/>
        <w:t>3</w:t>
      </w:r>
    </w:p>
    <w:p>
      <w:pPr>
        <w:pStyle w:val="PreformattedText"/>
        <w:bidi w:val="0"/>
        <w:spacing w:before="0" w:after="0"/>
        <w:jc w:val="left"/>
        <w:rPr/>
      </w:pPr>
      <w:r>
        <w:rPr/>
      </w:r>
    </w:p>
    <w:p>
      <w:pPr>
        <w:pStyle w:val="PreformattedText"/>
        <w:bidi w:val="0"/>
        <w:spacing w:before="0" w:after="0"/>
        <w:jc w:val="left"/>
        <w:rPr/>
      </w:pPr>
      <w:r>
        <w:rPr/>
        <w:t>Because any burden on petitioners’ speech is incidental to CADA’s neutral regulation of commercial conduct, the regulation is subject to the standard set forth in O’Brien.  That standard is easily satisfied here because the law’s ap plication “promotes a substantial government interest that would be achieved less effectively absent the regulation.”</w:t>
      </w:r>
    </w:p>
    <w:p>
      <w:pPr>
        <w:pStyle w:val="PreformattedText"/>
        <w:bidi w:val="0"/>
        <w:spacing w:before="0" w:after="0"/>
        <w:jc w:val="left"/>
        <w:rPr/>
      </w:pPr>
      <w:r>
        <w:rPr/>
      </w:r>
    </w:p>
    <w:p>
      <w:pPr>
        <w:pStyle w:val="PreformattedText"/>
        <w:bidi w:val="0"/>
        <w:spacing w:before="0" w:after="0"/>
        <w:jc w:val="left"/>
        <w:rPr/>
      </w:pPr>
      <w:r>
        <w:rPr/>
        <w:t>FAIR, 547 U. S., at 67 (internal quotation marks omitted).</w:t>
      </w:r>
    </w:p>
    <w:p>
      <w:pPr>
        <w:pStyle w:val="PreformattedText"/>
        <w:bidi w:val="0"/>
        <w:spacing w:before="0" w:after="0"/>
        <w:jc w:val="left"/>
        <w:rPr/>
      </w:pPr>
      <w:r>
        <w:rPr/>
      </w:r>
    </w:p>
    <w:p>
      <w:pPr>
        <w:pStyle w:val="PreformattedText"/>
        <w:bidi w:val="0"/>
        <w:spacing w:before="0" w:after="0"/>
        <w:jc w:val="left"/>
        <w:rPr/>
      </w:pPr>
      <w:r>
        <w:rPr/>
        <w:t>Indeed, this Court has already held that the State’s goal of “eliminating discrimination and assuring its citizens equal  access to publicly available goods and services” is “unrelated to the suppression of expression” and “plainly serves  compelling state interests of the highest order.” Roberts,  468 U. S., at 624. The Court has also held that by prohibiting only “acts of invidious discrimination in the distribution  of publicly available goods, services, and other advantages,” the law “responds precisely to the substantive problem which legitimately concerns the State and abridges no more  speech . . . than is necessary to accomplish that purpose.”  Id., at 628–629 (emphasis added; internal quotation marks omitted); see supra, at 4–7.</w:t>
      </w:r>
    </w:p>
    <w:p>
      <w:pPr>
        <w:pStyle w:val="PreformattedText"/>
        <w:bidi w:val="0"/>
        <w:spacing w:before="0" w:after="0"/>
        <w:jc w:val="left"/>
        <w:rPr/>
      </w:pPr>
      <w:r>
        <w:rPr/>
      </w:r>
    </w:p>
    <w:p>
      <w:pPr>
        <w:pStyle w:val="PreformattedText"/>
        <w:bidi w:val="0"/>
        <w:spacing w:before="0" w:after="0"/>
        <w:jc w:val="left"/>
        <w:rPr/>
      </w:pPr>
      <w:r>
        <w:rPr/>
        <w:t>C</w:t>
      </w:r>
    </w:p>
    <w:p>
      <w:pPr>
        <w:pStyle w:val="PreformattedText"/>
        <w:bidi w:val="0"/>
        <w:spacing w:before="0" w:after="0"/>
        <w:jc w:val="left"/>
        <w:rPr/>
      </w:pPr>
      <w:r>
        <w:rPr/>
      </w:r>
    </w:p>
    <w:p>
      <w:pPr>
        <w:pStyle w:val="PreformattedText"/>
        <w:bidi w:val="0"/>
        <w:spacing w:before="0" w:after="0"/>
        <w:jc w:val="left"/>
        <w:rPr/>
      </w:pPr>
      <w:r>
        <w:rPr/>
        <w:t>The Court reaches the wrong answer in this case because  it asks the wrong questions. The question is not whether  the company’s products include “elements of speech.”  FAIR, 547 U. S., at 61. (They do.) The question is not even whether CADA would require the company to create and sell speech, notwithstanding the owner’s sincere objection to doing so, if the company chooses to offer “such speech” to the public. Id., at 62. (It would.) These questions do not resolve the First Amendment inquiry any more than they did in FAIR. Instead, the proper focus is on the character  of state action and its relationship to expression. Because  Colorado seeks to apply CADA only to the refusal to provide same-sex couples the full and equal enjoyment of the company’s publicly available services, so that the company’s  speech “is only ‘compelled’ if, and to the extent,” the company chooses to offer “such speech” to the public, any bur den on speech is “plainly incidental” to a content-neutral  regulation of conduct. Ibid.</w:t>
      </w:r>
    </w:p>
    <w:p>
      <w:pPr>
        <w:pStyle w:val="PreformattedText"/>
        <w:bidi w:val="0"/>
        <w:spacing w:before="0" w:after="0"/>
        <w:jc w:val="left"/>
        <w:rPr/>
      </w:pPr>
      <w:r>
        <w:rPr/>
      </w:r>
    </w:p>
    <w:p>
      <w:pPr>
        <w:pStyle w:val="PreformattedText"/>
        <w:bidi w:val="0"/>
        <w:spacing w:before="0" w:after="0"/>
        <w:jc w:val="left"/>
        <w:rPr/>
      </w:pPr>
      <w:r>
        <w:rPr/>
        <w:t>The majority attempts to distinguish this clear holding of  FAIR by suggesting that the compelled speech in FAIR was  “incidental” because it was “logistical” (e.g., “The U. S.  Army recruiter will meet interested students in Room 123 at 11 a.m.”). Ante, at 18 (internal quotation marks omitted).</w:t>
      </w:r>
    </w:p>
    <w:p>
      <w:pPr>
        <w:pStyle w:val="PreformattedText"/>
        <w:bidi w:val="0"/>
        <w:spacing w:before="0" w:after="0"/>
        <w:jc w:val="left"/>
        <w:rPr/>
      </w:pPr>
      <w:r>
        <w:rPr/>
      </w:r>
    </w:p>
    <w:p>
      <w:pPr>
        <w:pStyle w:val="PreformattedText"/>
        <w:bidi w:val="0"/>
        <w:spacing w:before="0" w:after="0"/>
        <w:jc w:val="left"/>
        <w:rPr/>
      </w:pPr>
      <w:r>
        <w:rPr/>
        <w:t>This attempt fails twice over. First, the law schools in FAIR  alleged that the Solomon Amendment required them to create and disseminate speech propagating the military’s message, which they deeply objected to, and to include military speakers in on- and off-campus forums (if the schools provided equally favorable services to other recruiters). 547  U. S., at 60–61; App. 27 and Brief for Respondents 5–8 in  Rumsfeld v. Forum for Academic and Institutional Rights,  Inc., O. T. 2005, No. 04–1152. The majority simply skips  over the Court’s key reasoning for why any speech compul</w:t>
      </w:r>
      <w:r>
        <w:rPr/>
        <w:t>s</w:t>
      </w:r>
      <w:r>
        <w:rPr/>
        <w:t>ion was nevertheless “incidental” to the Amendment’s regulation of conduct: It would occur only “if, and to the ex tent,” the regulated entity provided “such speech” to others.  FAIR, 547 U. S., at 62. Likewise in O’Brien, the reason the  burden on O’Brien’s expression was incidental was not be cause his message was factual or uncontroversial. But cf.  ante, at 19. O’Brien burned his draft card to send a political  message, and the burden on his expression was substantial.  Still, the burden was “incidental” because it was ancillary  to a regulation that did not aim at expression. 391 U. S., at  377.</w:t>
      </w:r>
    </w:p>
    <w:p>
      <w:pPr>
        <w:pStyle w:val="PreformattedText"/>
        <w:bidi w:val="0"/>
        <w:spacing w:before="0" w:after="0"/>
        <w:jc w:val="left"/>
        <w:rPr/>
      </w:pPr>
      <w:r>
        <w:rPr/>
      </w:r>
    </w:p>
    <w:p>
      <w:pPr>
        <w:pStyle w:val="PreformattedText"/>
        <w:bidi w:val="0"/>
        <w:spacing w:before="0" w:after="0"/>
        <w:jc w:val="left"/>
        <w:rPr/>
      </w:pPr>
      <w:r>
        <w:rPr/>
        <w:t>Cite as: 600 U. S. ____ (2023) 31</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Second, the majority completely ignores the categorical  nature of the exemption claimed by petitioners. Petitioners  maintain, as they have throughout this litigation, that they  will refuse to create any wedding website for a same-sex  couple. Even an announcement of the time and place of a  wedding (similar to the majority’s example from FAIR) abridges petitioners’ freedom of speech, they claim, because  “the announcement of the wedding itself is a concept that  [Smith] believes to be false.” Tr. of Oral Arg. 41. Indeed,  petitioners here concede that if a same-sex couple came across an opposite-sex wedding website created by the company and requested an identical website, with only the names and date of the wedding changed, petitioners would  refuse. Id., at 37–38.11 That is status-based discrimination,  plain and simple.</w:t>
      </w:r>
    </w:p>
    <w:p>
      <w:pPr>
        <w:pStyle w:val="PreformattedText"/>
        <w:bidi w:val="0"/>
        <w:spacing w:before="0" w:after="0"/>
        <w:jc w:val="left"/>
        <w:rPr/>
      </w:pPr>
      <w:r>
        <w:rPr/>
      </w:r>
    </w:p>
    <w:p>
      <w:pPr>
        <w:pStyle w:val="PreformattedText"/>
        <w:bidi w:val="0"/>
        <w:spacing w:before="0" w:after="0"/>
        <w:jc w:val="left"/>
        <w:rPr/>
      </w:pPr>
      <w:r>
        <w:rPr/>
        <w:t>Oblivious to this fact, the majority insists that petitioners discriminate based on message, not status. The company, says the majority, will not sell same-sex wedding websites  to anyone. Ante, at 17. It will sell only opposite-sex wedding websites; that is its service. Petitioners, however,  “cannot define their service as ‘opposite-sex wedding [web sites]’ any more than a hotel can recast its services as  ‘whites-only lodgings.’” Telescope Media Group v. Lucero,</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11Because petitioners have never sold a wedding website to anyone, the record contains only a mockup website. The mockup confirms what you would expect: The website provides details of the event, a form to RSVP, a gift registry, etc. See App. 51–72. The customization of these elements pursuant to a content-neutral regulation of conduct does not  unconstitutionally intrude upon any protected expression of the website designer. Yet Smith claims a First Amendment right to refuse to provide  any wedding website for a same-sex couple. Her claim therefore rests on  the idea that her act of service is itself a form of protected expression. In  granting Smith’s claim, the majority collapses the distinction between  status-based and message-based refusals of service. The history shows just how profoundly wrong that is. See Runyon v. McCrary, 427 U. S.  160, 176 (1976); Hishon v. King &amp; Spalding, 467 U. S. 69, 78 (1984); Roberts v. United States Jaycees, 468 U. S. 609, 622–629 (1984).</w:t>
      </w:r>
    </w:p>
    <w:p>
      <w:pPr>
        <w:pStyle w:val="PreformattedText"/>
        <w:bidi w:val="0"/>
        <w:spacing w:before="0" w:after="0"/>
        <w:jc w:val="left"/>
        <w:rPr/>
      </w:pPr>
      <w:r>
        <w:rPr/>
      </w:r>
    </w:p>
    <w:p>
      <w:pPr>
        <w:pStyle w:val="PreformattedText"/>
        <w:bidi w:val="0"/>
        <w:spacing w:before="0" w:after="0"/>
        <w:jc w:val="left"/>
        <w:rPr/>
      </w:pPr>
      <w:r>
        <w:rPr/>
        <w:t>32 303 CREATIVE LLC v. ELENIS</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936 F. 3d 740, 769 (CA8 2019) (Kelly, J., concurring in part  and dissenting in part). To allow a business open to the public to define the expressive quality of its goods or ser vices to exclude a protected group would nullify public accommodations laws. It would mean that a large retail store  could sell “passport photos for white people.”</w:t>
      </w:r>
    </w:p>
    <w:p>
      <w:pPr>
        <w:pStyle w:val="PreformattedText"/>
        <w:bidi w:val="0"/>
        <w:spacing w:before="0" w:after="0"/>
        <w:jc w:val="left"/>
        <w:rPr/>
      </w:pPr>
      <w:r>
        <w:rPr/>
      </w:r>
    </w:p>
    <w:p>
      <w:pPr>
        <w:pStyle w:val="PreformattedText"/>
        <w:bidi w:val="0"/>
        <w:spacing w:before="0" w:after="0"/>
        <w:jc w:val="left"/>
        <w:rPr/>
      </w:pPr>
      <w:r>
        <w:rPr/>
        <w:t>The majority protests that Smith will gladly sell her  goods and services to anyone, including same-sex couples.  Ante, at 2, 17. She just will not sell websites for same-sex  weddings. Apparently, a gay or lesbian couple might buy a wedding website for their straight friends. This logic would  be amusing if it were not so embarrassing.12 I suppose the Heart of Atlanta Motel could have argued that Black people  may still rent rooms for their white friends. Smith answers  that she will sell other websites for gay or lesbian clients.  But then she, like Ollie McClung, who would serve Black  people take-out but not table service, discriminates against LGBT people by offering them a limited menu.13 This is plain to see, for all who do not look the other way.  The majority, however, analogizes this case to Hurley and  Boy Scouts of America v. Dale, 530 U. S. 640 (2000). The  law schools in FAIR likewise relied on Hurley and Dale to  argue that the Solomon Amendment violated their free speech rights. FAIR confirmed, however, that a neutral  regulation of conduct imposes an incidental burden on speech when the regulation grants a right of equal access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12The majority tacitly acknowledges the absurdity. At the start of its  opinion, it explains that Smith “decided to expand her offerings to in clude services for couples seeking websites for their weddings.” Ante, at 1  (emphasis added).</w:t>
      </w:r>
    </w:p>
    <w:p>
      <w:pPr>
        <w:pStyle w:val="PreformattedText"/>
        <w:bidi w:val="0"/>
        <w:spacing w:before="0" w:after="0"/>
        <w:jc w:val="left"/>
        <w:rPr/>
      </w:pPr>
      <w:r>
        <w:rPr/>
      </w:r>
    </w:p>
    <w:p>
      <w:pPr>
        <w:pStyle w:val="PreformattedText"/>
        <w:bidi w:val="0"/>
        <w:spacing w:before="0" w:after="0"/>
        <w:jc w:val="left"/>
        <w:rPr/>
      </w:pPr>
      <w:r>
        <w:rPr/>
        <w:t>13What is “‘embarrassing’” about this reasoning is not, as the Court  claims, the “distinction between status and message.” Ante, at 18, n. 3.</w:t>
      </w:r>
    </w:p>
    <w:p>
      <w:pPr>
        <w:pStyle w:val="PreformattedText"/>
        <w:bidi w:val="0"/>
        <w:spacing w:before="0" w:after="0"/>
        <w:jc w:val="left"/>
        <w:rPr/>
      </w:pPr>
      <w:r>
        <w:rPr/>
      </w:r>
    </w:p>
    <w:p>
      <w:pPr>
        <w:pStyle w:val="PreformattedText"/>
        <w:bidi w:val="0"/>
        <w:spacing w:before="0" w:after="0"/>
        <w:jc w:val="left"/>
        <w:rPr/>
      </w:pPr>
      <w:r>
        <w:rPr/>
        <w:t>It is petitioners’ contrivance, embraced by the Court, that a prohibition on status-based discrimination can be avoided by asserting that a group  can always buy services on behalf of others, or else that the group can  access a “separate but equal” subset of the services made available to  everyone else.</w:t>
      </w:r>
    </w:p>
    <w:p>
      <w:pPr>
        <w:pStyle w:val="PreformattedText"/>
        <w:bidi w:val="0"/>
        <w:spacing w:before="0" w:after="0"/>
        <w:jc w:val="left"/>
        <w:rPr/>
      </w:pPr>
      <w:r>
        <w:rPr/>
      </w:r>
    </w:p>
    <w:p>
      <w:pPr>
        <w:pStyle w:val="PreformattedText"/>
        <w:bidi w:val="0"/>
        <w:spacing w:before="0" w:after="0"/>
        <w:jc w:val="left"/>
        <w:rPr/>
      </w:pPr>
      <w:r>
        <w:rPr/>
        <w:t>Cite as: 600 U. S. ____ (2023) 33</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that requires the regulated party to provide speech only if, and to the extent, it provides such speech for others. Supra,  at 25–26, 29–30.</w:t>
      </w:r>
    </w:p>
    <w:p>
      <w:pPr>
        <w:pStyle w:val="PreformattedText"/>
        <w:bidi w:val="0"/>
        <w:spacing w:before="0" w:after="0"/>
        <w:jc w:val="left"/>
        <w:rPr/>
      </w:pPr>
      <w:r>
        <w:rPr/>
      </w:r>
    </w:p>
    <w:p>
      <w:pPr>
        <w:pStyle w:val="PreformattedText"/>
        <w:bidi w:val="0"/>
        <w:spacing w:before="0" w:after="0"/>
        <w:jc w:val="left"/>
        <w:rPr/>
      </w:pPr>
      <w:r>
        <w:rPr/>
        <w:t>Hurley and Dale, by contrast, involved “peculiar” applications of public accommodations laws, not to “the act of dis criminating . . . in the provision of publicly available goods” by “clearly commercial entities,” but rather to private, non profit expressive associations in ways that directly burdened speech. Hurley, 515 U. S., at 572 (private parade);</w:t>
      </w:r>
    </w:p>
    <w:p>
      <w:pPr>
        <w:pStyle w:val="PreformattedText"/>
        <w:bidi w:val="0"/>
        <w:spacing w:before="0" w:after="0"/>
        <w:jc w:val="left"/>
        <w:rPr/>
      </w:pPr>
      <w:r>
        <w:rPr/>
      </w:r>
    </w:p>
    <w:p>
      <w:pPr>
        <w:pStyle w:val="PreformattedText"/>
        <w:bidi w:val="0"/>
        <w:spacing w:before="0" w:after="0"/>
        <w:jc w:val="left"/>
        <w:rPr/>
      </w:pPr>
      <w:r>
        <w:rPr/>
        <w:t>Dale, 530 U. S., at 657 (Boy Scouts). The Court in Hurley  and Dale stressed that the speech burdens in those cases were not incidental to prohibitions on status-based discrimination because the associations did not assert that “mere  acceptance of a member from a particular group would impair [the association’s] message.” Dale, 530 U. S., at 653;  see also ibid. (reasoning that Dale was excluded for being a  gay rights activist, not for being gay); ibid. (explaining that in Hurley, “the parade organizers did not wish to exclude the GLIB [Irish-American gay, lesbian, and bisexual group]  members because of their sexual orientations, but because  they wanted to march behind a GLIB banner”); Hurley, 515  U. S., at 572–573.</w:t>
      </w:r>
    </w:p>
    <w:p>
      <w:pPr>
        <w:pStyle w:val="PreformattedText"/>
        <w:bidi w:val="0"/>
        <w:spacing w:before="0" w:after="0"/>
        <w:jc w:val="left"/>
        <w:rPr/>
      </w:pPr>
      <w:r>
        <w:rPr/>
      </w:r>
    </w:p>
    <w:p>
      <w:pPr>
        <w:pStyle w:val="PreformattedText"/>
        <w:bidi w:val="0"/>
        <w:spacing w:before="0" w:after="0"/>
        <w:jc w:val="left"/>
        <w:rPr/>
      </w:pPr>
      <w:r>
        <w:rPr/>
        <w:t>Here, the opposite is true. 303 Creative LLC is a “clearly  commercial entit[y].” Dale, 530 U. S., at 657. The company comes under the regulation of CADA only if it sells services  to the public, and only if it denies the equal enjoyment of  such services because of sexual orientation. The State con firms that the company is free to include or not to include  any message in whatever services it chooses to offer. Supra,  at 26–28. And the company confirms that it plans to engage in status-based discrimination. Supra, at 22–23, 31–32.</w:t>
      </w:r>
    </w:p>
    <w:p>
      <w:pPr>
        <w:pStyle w:val="PreformattedText"/>
        <w:bidi w:val="0"/>
        <w:spacing w:before="0" w:after="0"/>
        <w:jc w:val="left"/>
        <w:rPr/>
      </w:pPr>
      <w:r>
        <w:rPr/>
      </w:r>
    </w:p>
    <w:p>
      <w:pPr>
        <w:pStyle w:val="PreformattedText"/>
        <w:bidi w:val="0"/>
        <w:spacing w:before="0" w:after="0"/>
        <w:jc w:val="left"/>
        <w:rPr/>
      </w:pPr>
      <w:r>
        <w:rPr/>
        <w:t>Therefore, any burden on the company’s expression is incidental to the State’s content-neutral regulation of commercial conduct.</w:t>
      </w:r>
    </w:p>
    <w:p>
      <w:pPr>
        <w:pStyle w:val="PreformattedText"/>
        <w:bidi w:val="0"/>
        <w:spacing w:before="0" w:after="0"/>
        <w:jc w:val="left"/>
        <w:rPr/>
      </w:pPr>
      <w:r>
        <w:rPr/>
      </w:r>
    </w:p>
    <w:p>
      <w:pPr>
        <w:pStyle w:val="PreformattedText"/>
        <w:bidi w:val="0"/>
        <w:spacing w:before="0" w:after="0"/>
        <w:jc w:val="left"/>
        <w:rPr/>
      </w:pPr>
      <w:r>
        <w:rPr/>
        <w:t>Frustrated by this inescapable logic, the majority dials up  the rhetoric, asserting that “Colorado seeks to compel [the</w:t>
      </w:r>
    </w:p>
    <w:p>
      <w:pPr>
        <w:pStyle w:val="PreformattedText"/>
        <w:bidi w:val="0"/>
        <w:spacing w:before="0" w:after="0"/>
        <w:jc w:val="left"/>
        <w:rPr/>
      </w:pPr>
      <w:r>
        <w:rPr/>
      </w:r>
    </w:p>
    <w:p>
      <w:pPr>
        <w:pStyle w:val="PreformattedText"/>
        <w:bidi w:val="0"/>
        <w:spacing w:before="0" w:after="0"/>
        <w:jc w:val="left"/>
        <w:rPr/>
      </w:pPr>
      <w:r>
        <w:rPr/>
        <w:t>34 303 CREATIVE LLC v. ELENIS</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So it is dispiriting to read the majority suggest that this case resembles West Virginia Bd. of Ed. v. Barnette, 319  U. S. 624 (1943). A content-neutral equal-access policy is “a far cry” from a mandate to “endorse” a pledge chosen by the Government. FAIR, 547 U. S., at 62. This Court has  said “it trivializes the freedom protected in Barnette” to  equate the two. Ibid. Requiring Smith’s company to abide</w:t>
      </w:r>
    </w:p>
    <w:p>
      <w:pPr>
        <w:pStyle w:val="PreformattedText"/>
        <w:bidi w:val="0"/>
        <w:spacing w:before="0" w:after="0"/>
        <w:jc w:val="left"/>
        <w:rPr/>
      </w:pPr>
      <w:r>
        <w:rPr/>
      </w:r>
    </w:p>
    <w:p>
      <w:pPr>
        <w:pStyle w:val="PreformattedText"/>
        <w:bidi w:val="0"/>
        <w:spacing w:before="0" w:after="0"/>
        <w:jc w:val="left"/>
        <w:rPr/>
      </w:pPr>
      <w:r>
        <w:rPr/>
        <w:t>by a law against invidious discrimination in commercial  sales to the public does not conscript her into espousing the  government’s message. It does not “invad[e]” her “sphere of  intellect” or violate her constitutional “right to differ.” Ante,  at 2, 7 (internal quotation marks omitted). All it does is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14The majority’s repeated invocation of this Orwellian thought policing  is revealing of just how much it misunderstands this case. See ante, at  10–12, 19–20, 24–25 (claiming that the State seeks to “eliminate ideas” and that it will punish Smith unless she “conforms her views to the  State’s”).</w:t>
      </w:r>
    </w:p>
    <w:p>
      <w:pPr>
        <w:pStyle w:val="PreformattedText"/>
        <w:bidi w:val="0"/>
        <w:spacing w:before="0" w:after="0"/>
        <w:jc w:val="left"/>
        <w:rPr/>
      </w:pPr>
      <w:r>
        <w:rPr/>
      </w:r>
    </w:p>
    <w:p>
      <w:pPr>
        <w:pStyle w:val="PreformattedText"/>
        <w:bidi w:val="0"/>
        <w:spacing w:before="0" w:after="0"/>
        <w:jc w:val="left"/>
        <w:rPr/>
      </w:pPr>
      <w:r>
        <w:rPr/>
        <w:t>Cite as: 600 U. S. ____ (2023) 35</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require her to stick to her bargain: “The owner who hangs  a shingle and offers her services to the public cannot retreat  from the promise of open service; to do so is to offer the public marked money. It is to convey the promise of a free and  open society and then take the prize away from the despised few.” J. Singer, We Don’t Serve Your Kind Here: Public Accommodations and the Mark of Sodom, 95 B. U. L. Rev. 929,  949 (2015).</w:t>
      </w:r>
    </w:p>
    <w:p>
      <w:pPr>
        <w:pStyle w:val="PreformattedText"/>
        <w:bidi w:val="0"/>
        <w:spacing w:before="0" w:after="0"/>
        <w:jc w:val="left"/>
        <w:rPr/>
      </w:pPr>
      <w:r>
        <w:rPr/>
      </w:r>
    </w:p>
    <w:p>
      <w:pPr>
        <w:pStyle w:val="PreformattedText"/>
        <w:bidi w:val="0"/>
        <w:spacing w:before="0" w:after="0"/>
        <w:jc w:val="left"/>
        <w:rPr/>
      </w:pPr>
      <w:r>
        <w:rPr/>
        <w:t>III</w:t>
      </w:r>
    </w:p>
    <w:p>
      <w:pPr>
        <w:pStyle w:val="PreformattedText"/>
        <w:bidi w:val="0"/>
        <w:spacing w:before="0" w:after="0"/>
        <w:jc w:val="left"/>
        <w:rPr/>
      </w:pPr>
      <w:r>
        <w:rPr/>
      </w:r>
    </w:p>
    <w:p>
      <w:pPr>
        <w:pStyle w:val="PreformattedText"/>
        <w:bidi w:val="0"/>
        <w:spacing w:before="0" w:after="0"/>
        <w:jc w:val="left"/>
        <w:rPr/>
      </w:pPr>
      <w:r>
        <w:rPr/>
        <w:t>Today is a sad day in American constitutional law and in the lives of LGBT people. The Supreme Court of the United  States declares that a particular kind of business, though  open to the public, has a constitutional right to refuse to  serve members of a protected class. The Court does so for  the first time in its history. By issuing this new license to discriminate in a case brought by a company that seeks to deny same-sex couples the full and equal enjoyment of its  services, the immediate, symbolic effect of the decision is to  mark gays and lesbians for second-class status. In this way, the decision itself inflicts a kind of stigmatic harm, on top  of any harm caused by denials of service. The opinion of the Court is, quite literally, a notice that reads: “Some services  may be denied to same-sex couples.”</w:t>
      </w:r>
    </w:p>
    <w:p>
      <w:pPr>
        <w:pStyle w:val="PreformattedText"/>
        <w:bidi w:val="0"/>
        <w:spacing w:before="0" w:after="0"/>
        <w:jc w:val="left"/>
        <w:rPr/>
      </w:pPr>
      <w:r>
        <w:rPr/>
      </w:r>
    </w:p>
    <w:p>
      <w:pPr>
        <w:pStyle w:val="PreformattedText"/>
        <w:bidi w:val="0"/>
        <w:spacing w:before="0" w:after="0"/>
        <w:jc w:val="left"/>
        <w:rPr/>
      </w:pPr>
      <w:r>
        <w:rPr/>
        <w:t>“</w:t>
      </w:r>
      <w:r>
        <w:rPr/>
        <w:t>The truth is,” these “affronts and denials” “are intensely  human and personal.” S. Rep. No. 872, at 15 (internal quotation marks omitted). Sometimes they may “harm the physical body, but always they strike at the root of the human spirit, at the very core of human dignity.” Ibid. To see  how, imagine a same-sex couple browses the public market  with their child. The market could be online or in a shop ping mall. Some stores sell products that are customized  and expressive. The family sees a notice announcing that  services will be refused for same-sex weddings. What mes sage does that send? It sends the message that we live in a society with social castes. It says to the child of the same-sex couple that their parents’ relationship is not equal to others’. And it reminds LGBT people of a painful feeling  that they know all too well: There are some public places  where they can be themselves, and some where they cannot.  K. Yoshino, Covering 61–66 (2006). Ask any LGBT person,  and you will learn just how often they are forced to navigate life in this way. They must ask themselves: If I reveal my  identity to this co-worker, or to this shopkeeper, will they  treat me the same way? If I hold the hand of my partner in  this setting, will someone stare at me, harass me, or even  hurt me? It is an awful way to live. Freedom from this way of life is the very object of a law that declares: All members  of the public are entitled to inhabit public spaces on equal  terms.</w:t>
      </w:r>
    </w:p>
    <w:p>
      <w:pPr>
        <w:pStyle w:val="PreformattedText"/>
        <w:bidi w:val="0"/>
        <w:spacing w:before="0" w:after="0"/>
        <w:jc w:val="left"/>
        <w:rPr/>
      </w:pPr>
      <w:r>
        <w:rPr/>
      </w:r>
    </w:p>
    <w:p>
      <w:pPr>
        <w:pStyle w:val="PreformattedText"/>
        <w:bidi w:val="0"/>
        <w:spacing w:before="0" w:after="0"/>
        <w:jc w:val="left"/>
        <w:rPr/>
      </w:pPr>
      <w:r>
        <w:rPr/>
        <w:t>This case cannot be understood outside of the context in  which it arises. In that context, the outcome is even more  distressing. The LGBT rights movement has made historic  strides, and I am proud of the role this Court recently played in that history. Today, however, we are taking steps backward. A slew of anti-LGBT laws have been passed in  some parts of the country,15 raising the specter of a “bare  . . . desire to harm a politically unpopular group.” Romer,  517 U. S., at 634 (internal quotation marks omitted). This  is especially unnerving when “for centuries there have been  powerful voices to condemn” this small minority. Lawrence  v. Texas, 539 U. S. 558, 571 (2003). In this pivotal moment, the Court had an opportunity to reaffirm its commitment to  equality on behalf of all members of society, including  LGBT people. It does not do so.</w:t>
      </w:r>
    </w:p>
    <w:p>
      <w:pPr>
        <w:pStyle w:val="PreformattedText"/>
        <w:bidi w:val="0"/>
        <w:spacing w:before="0" w:after="0"/>
        <w:jc w:val="left"/>
        <w:rPr/>
      </w:pPr>
      <w:r>
        <w:rPr/>
      </w:r>
    </w:p>
    <w:p>
      <w:pPr>
        <w:pStyle w:val="PreformattedText"/>
        <w:bidi w:val="0"/>
        <w:spacing w:before="0" w:after="0"/>
        <w:jc w:val="left"/>
        <w:rPr/>
      </w:pPr>
      <w:r>
        <w:rPr/>
        <w:t>Although the consequences of today’s decision might be  most pressing for the LGBT community, the decision’s logic</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15These laws variously censor discussion of sexual orientation and</w:t>
      </w:r>
    </w:p>
    <w:p>
      <w:pPr>
        <w:pStyle w:val="PreformattedText"/>
        <w:bidi w:val="0"/>
        <w:spacing w:before="0" w:after="0"/>
        <w:jc w:val="left"/>
        <w:rPr/>
      </w:pPr>
      <w:r>
        <w:rPr/>
      </w:r>
    </w:p>
    <w:p>
      <w:pPr>
        <w:pStyle w:val="PreformattedText"/>
        <w:bidi w:val="0"/>
        <w:spacing w:before="0" w:after="0"/>
        <w:jc w:val="left"/>
        <w:rPr/>
      </w:pPr>
      <w:r>
        <w:rPr/>
        <w:t>gender identity in schools, see, e.g., 2023 Ky. Acts pp. 775–779, and ban  drag shows in public, see 2023 Tenn. Pub. Acts ch. 2. Yet we are told  that the real threat to free speech is that a commercial business open to the public might have to serve all members of the public.</w:t>
      </w:r>
    </w:p>
    <w:p>
      <w:pPr>
        <w:pStyle w:val="PreformattedText"/>
        <w:bidi w:val="0"/>
        <w:spacing w:before="0" w:after="0"/>
        <w:jc w:val="left"/>
        <w:rPr/>
      </w:pPr>
      <w:r>
        <w:rPr/>
      </w:r>
    </w:p>
    <w:p>
      <w:pPr>
        <w:pStyle w:val="PreformattedText"/>
        <w:bidi w:val="0"/>
        <w:spacing w:before="0" w:after="0"/>
        <w:jc w:val="left"/>
        <w:rPr/>
      </w:pPr>
      <w:r>
        <w:rPr/>
        <w:t>Cite as: 600 U. S. ____ (2023) 37</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cannot be limited to discrimination on the basis of sexual  orientation or gender identity. The decision threatens to  balkanize the market and to allow the exclusion of other  groups from many services. A website designer could  equally refuse to create a wedding website for an interracial  couple, for example. How quickly we forget that opposition  to interracial marriage was often because “‘Almighty God  . . . did not intend for the races to mix.’” Loving v. Virginia,  388 U. S. 1, 3 (1967). Yet the reason for discrimination need  not even be religious, as this case arises under the Free  Speech Clause. A stationer could refuse to sell a birth announcement for a disabled couple because she opposes their  having a child. A large retail store could reserve its family portrait services for “traditional” families. And so on.16  Wedding websites, birth announcements, family portraits, epitaphs. These are not just words and images.</w:t>
      </w:r>
    </w:p>
    <w:p>
      <w:pPr>
        <w:pStyle w:val="PreformattedText"/>
        <w:bidi w:val="0"/>
        <w:spacing w:before="0" w:after="0"/>
        <w:jc w:val="left"/>
        <w:rPr/>
      </w:pPr>
      <w:r>
        <w:rPr/>
      </w:r>
    </w:p>
    <w:p>
      <w:pPr>
        <w:pStyle w:val="PreformattedText"/>
        <w:bidi w:val="0"/>
        <w:spacing w:before="0" w:after="0"/>
        <w:jc w:val="left"/>
        <w:rPr/>
      </w:pPr>
      <w:r>
        <w:rPr/>
        <w:t>They are the most profound moments in a human’s life.</w:t>
      </w:r>
    </w:p>
    <w:p>
      <w:pPr>
        <w:pStyle w:val="PreformattedText"/>
        <w:bidi w:val="0"/>
        <w:spacing w:before="0" w:after="0"/>
        <w:jc w:val="left"/>
        <w:rPr/>
      </w:pPr>
      <w:r>
        <w:rPr/>
      </w:r>
    </w:p>
    <w:p>
      <w:pPr>
        <w:pStyle w:val="PreformattedText"/>
        <w:bidi w:val="0"/>
        <w:spacing w:before="0" w:after="0"/>
        <w:jc w:val="left"/>
        <w:rPr/>
      </w:pPr>
      <w:r>
        <w:rPr/>
        <w:t>They are the moments that give that life personal and cultural meaning. You already heard the story of Bob and  Jack, the elderly gay couple forced to find a funeral home more than an hour away. Supra, at 5–6, and n. 4. Now  hear the story of Cynthia and Sherry, a lesbian couple of 13  years until Cynthia died from cancer at age 35. When Cynthia was diagnosed, she drew up a will, which authorized  Sherry to make burial arrangements. Cynthia had asked Sherry to include an inscription on her headstone, listing the relationships that were important to her, for example,  “daughter, granddaughter, sister, and aunt.” After Cynthia  ——————</w:t>
      </w:r>
    </w:p>
    <w:p>
      <w:pPr>
        <w:pStyle w:val="PreformattedText"/>
        <w:bidi w:val="0"/>
        <w:spacing w:before="0" w:after="0"/>
        <w:jc w:val="left"/>
        <w:rPr/>
      </w:pPr>
      <w:r>
        <w:rPr/>
      </w:r>
    </w:p>
    <w:p>
      <w:pPr>
        <w:pStyle w:val="PreformattedText"/>
        <w:bidi w:val="0"/>
        <w:spacing w:before="0" w:after="0"/>
        <w:jc w:val="left"/>
        <w:rPr/>
      </w:pPr>
      <w:r>
        <w:rPr/>
        <w:t>16The potential implications of the Court’s logic are deeply troubling.  Would Runyon v. McCrary have come out differently if the schools had  argued that accepting Black children would have required them to create  original speech, like lessons, report cards, or diplomas, that they deeply objected to? What if the law firm in Hishon v. King &amp; Spalding had  argued that promoting a woman to the partnership would have required it to alter its speech, like letterhead or court filings, in ways that it would  rather not? Once you look closely, “compelled speech” (in the majority’s facile understanding of that concept) is everywhere.</w:t>
      </w:r>
    </w:p>
    <w:p>
      <w:pPr>
        <w:pStyle w:val="PreformattedText"/>
        <w:bidi w:val="0"/>
        <w:spacing w:before="0" w:after="0"/>
        <w:jc w:val="left"/>
        <w:rPr/>
      </w:pPr>
      <w:r>
        <w:rPr/>
      </w:r>
    </w:p>
    <w:p>
      <w:pPr>
        <w:pStyle w:val="PreformattedText"/>
        <w:bidi w:val="0"/>
        <w:spacing w:before="0" w:after="0"/>
        <w:jc w:val="left"/>
        <w:rPr/>
      </w:pPr>
      <w:r>
        <w:rPr/>
        <w:t>38 303 CREATIVE LLC v. ELENIS</w:t>
      </w:r>
    </w:p>
    <w:p>
      <w:pPr>
        <w:pStyle w:val="PreformattedText"/>
        <w:bidi w:val="0"/>
        <w:spacing w:before="0" w:after="0"/>
        <w:jc w:val="left"/>
        <w:rPr/>
      </w:pPr>
      <w:r>
        <w:rPr/>
      </w:r>
    </w:p>
    <w:p>
      <w:pPr>
        <w:pStyle w:val="PreformattedText"/>
        <w:bidi w:val="0"/>
        <w:spacing w:before="0" w:after="0"/>
        <w:jc w:val="left"/>
        <w:rPr/>
      </w:pPr>
      <w:r>
        <w:rPr/>
        <w:t>SOTOMAYOR, J., dissenting</w:t>
      </w:r>
    </w:p>
    <w:p>
      <w:pPr>
        <w:pStyle w:val="PreformattedText"/>
        <w:bidi w:val="0"/>
        <w:spacing w:before="0" w:after="0"/>
        <w:jc w:val="left"/>
        <w:rPr/>
      </w:pPr>
      <w:r>
        <w:rPr/>
      </w:r>
    </w:p>
    <w:p>
      <w:pPr>
        <w:pStyle w:val="PreformattedText"/>
        <w:bidi w:val="0"/>
        <w:spacing w:before="0" w:after="0"/>
        <w:jc w:val="left"/>
        <w:rPr/>
      </w:pPr>
      <w:r>
        <w:rPr/>
        <w:t>died, the cemetery was willing to include those words, but  not the words that described Cynthia’s relationship to  Sherry: “‘beloved life partner.’” N. Knauer, Gay and Les bian Elders 102 (2011). There are many such stories, too many to tell here. And after today, too many to come.  I fear that the symbolic damage of the Court’s opinion is done. But that does not mean that we are powerless in the  face of the decision. The meaning of our Constitution is  found not in any law volume, but in the spirit of the people  who live under it. Every business owner in America has a choice whether to live out the values in the Constitution.  Make no mistake: Invidious discrimination is not one of  them. “[D]iscrimination in any form and in any degree has</w:t>
      </w:r>
    </w:p>
    <w:p>
      <w:pPr>
        <w:pStyle w:val="PreformattedText"/>
        <w:bidi w:val="0"/>
        <w:spacing w:before="0" w:after="0"/>
        <w:jc w:val="left"/>
        <w:rPr/>
      </w:pPr>
      <w:r>
        <w:rPr/>
      </w:r>
    </w:p>
    <w:p>
      <w:pPr>
        <w:pStyle w:val="PreformattedText"/>
        <w:bidi w:val="0"/>
        <w:spacing w:before="0" w:after="0"/>
        <w:jc w:val="left"/>
        <w:rPr/>
      </w:pPr>
      <w:r>
        <w:rPr/>
        <w:t>no justifiable part whatever in our democratic way of life.”  Korematsu v. United States, 323 U. S. 214, 242 (1944) (Mur phy, J., dissenting). “It is unattractive in any setting but it is utterly revolting among a free people who have embraced  the principles set forth in the Constitution of the United States.” Ibid.</w:t>
      </w:r>
    </w:p>
    <w:p>
      <w:pPr>
        <w:pStyle w:val="PreformattedText"/>
        <w:bidi w:val="0"/>
        <w:spacing w:before="0" w:after="0"/>
        <w:jc w:val="left"/>
        <w:rPr/>
      </w:pPr>
      <w:r>
        <w:rPr/>
      </w:r>
    </w:p>
    <w:p>
      <w:pPr>
        <w:pStyle w:val="PreformattedText"/>
        <w:bidi w:val="0"/>
        <w:spacing w:before="0" w:after="0"/>
        <w:jc w:val="left"/>
        <w:rPr/>
      </w:pPr>
      <w:r>
        <w:rPr/>
        <w:t>The unattractive lesson of the majority opinion is this: What’s mine is mine, and what’s yours is yours. The lesson  of the history of public accommodations laws is altogether  different. It is that in a free and democratic society, there can be no social castes. And for that to be true, it must be  true in the public market. For the “promise of freedom” is  an empty one if the Government is “powerless to assure that a dollar in the hands of [one person] will purchase the  same thing as a dollar in the hands of a[nother].” Jones v.  Alfred H. Mayer Co., 392 U. S. 409, 443 (1968). Because the  Court today retreats from that promise, I dissent.</w:t>
      </w:r>
    </w:p>
    <w:p>
      <w:pPr>
        <w:pStyle w:val="PreformattedText"/>
        <w:bidi w:val="0"/>
        <w:spacing w:before="0" w:after="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35</Pages>
  <Words>20468</Words>
  <Characters>102116</Characters>
  <CharactersWithSpaces>123015</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2023-07-04T17:12:43Z</dcterms:modified>
  <cp:revision>4</cp:revision>
  <dc:subject/>
  <dc:title/>
</cp:coreProperties>
</file>