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National Social Registry (NSR) MIS</w:t>
      </w:r>
    </w:p>
    <w:p>
      <w:pPr>
        <w:jc w:val="center"/>
      </w:pPr>
      <w:r>
        <w:rPr>
          <w:b/>
          <w:color w:val="2E75B6"/>
          <w:sz w:val="32"/>
        </w:rPr>
        <w:t>Functional and Non-Functional Requirements</w:t>
      </w:r>
    </w:p>
    <w:p/>
    <w:p>
      <w:pPr>
        <w:jc w:val="center"/>
      </w:pPr>
      <w:r>
        <w:rPr>
          <w:i/>
          <w:sz w:val="24"/>
        </w:rPr>
        <w:t>Prepared for the Ministry of Gender, Labour and Social Development (MGLSD)</w:t>
        <w:br/>
        <w:t>Republic of Uganda</w:t>
        <w:br/>
        <w:t>Version 0.1 (draft)  |  13 May 2026</w:t>
        <w:br/>
        <w:t>Target stack: Django + PostgreSQL</w:t>
      </w:r>
    </w:p>
    <w:p>
      <w:r>
        <w:br w:type="page"/>
      </w:r>
    </w:p>
    <w:p>
      <w:pPr>
        <w:pStyle w:val="Heading1"/>
      </w:pPr>
      <w:r>
        <w:t>1. Introduction</w:t>
      </w:r>
    </w:p>
    <w:p>
      <w:pPr>
        <w:spacing w:after="120"/>
      </w:pPr>
      <w:r>
        <w:t>This document captures the functional and non-functional requirements for the National Social Registry (NSR) Management Information System (MIS), the digital platform that will record, validate, score, and share information on potential and current beneficiaries of social protection in Uganda. It draws on:</w:t>
      </w:r>
    </w:p>
    <w:p>
      <w:pPr>
        <w:pStyle w:val="ListBullet"/>
        <w:spacing w:after="40"/>
      </w:pPr>
      <w:r>
        <w:t>The NSR Concept Note, Framework for Implementing the NSR (2026), Policy Brief, and Stakeholders documents from MGLSD.</w:t>
      </w:r>
    </w:p>
    <w:p>
      <w:pPr>
        <w:pStyle w:val="ListBullet"/>
        <w:spacing w:after="40"/>
      </w:pPr>
      <w:r>
        <w:t>The Terms of Reference for the NSR MIS (MGLSD, 2025), which sets harmonised data definitions, modules, and performance targets.</w:t>
      </w:r>
    </w:p>
    <w:p>
      <w:pPr>
        <w:pStyle w:val="ListBullet"/>
        <w:spacing w:after="40"/>
      </w:pPr>
      <w:r>
        <w:t>The NSR Data Collection Strategy, which defines field methodologies across the nine NUSAF sub-regions.</w:t>
      </w:r>
    </w:p>
    <w:p>
      <w:pPr>
        <w:pStyle w:val="ListBullet"/>
        <w:spacing w:after="40"/>
      </w:pPr>
      <w:r>
        <w:t>The Rapid Assessment of MGLSD MIS Hardware and Software Infrastructure (Castro, 2023), which describes the current MIS landscape and integration points.</w:t>
      </w:r>
    </w:p>
    <w:p>
      <w:pPr>
        <w:pStyle w:val="ListBullet"/>
        <w:spacing w:after="40"/>
      </w:pPr>
      <w:r>
        <w:t>The openIMIS Functional Requirements for Social Registry capability areas (Data Management, Intake, Eligibility, Updates, Reporting, Interoperability, Security, UI).</w:t>
      </w:r>
    </w:p>
    <w:p>
      <w:pPr>
        <w:pStyle w:val="ListBullet"/>
        <w:spacing w:after="40"/>
      </w:pPr>
      <w:r>
        <w:t>The Uganda Bureau of Statistics (UBOS) administrative hierarchy and the Local Government Act administrative levels.</w:t>
      </w:r>
    </w:p>
    <w:p>
      <w:pPr>
        <w:pStyle w:val="ListBullet"/>
        <w:spacing w:after="40"/>
      </w:pPr>
      <w:r>
        <w:t>The Data Protection and Privacy Act, 2019.</w:t>
      </w:r>
    </w:p>
    <w:p>
      <w:pPr>
        <w:pStyle w:val="Heading2"/>
      </w:pPr>
      <w:r>
        <w:t>1.1 Purpose</w:t>
      </w:r>
    </w:p>
    <w:p>
      <w:pPr>
        <w:spacing w:after="120"/>
      </w:pPr>
      <w:r>
        <w:t>The NSR MIS provides a single national entry point for socio-economic data on households and individuals, computes a standardised vulnerability score, and shares the resulting data with social protection programmes and partner systems under controlled data-sharing agreements. The MIS replaces fragmented programme intake processes and provides a foundation for objective targeting, dynamic updates, and shock-responsive delivery.</w:t>
      </w:r>
    </w:p>
    <w:p>
      <w:pPr>
        <w:pStyle w:val="Heading2"/>
      </w:pPr>
      <w:r>
        <w:t>1.2 Scope</w:t>
      </w:r>
    </w:p>
    <w:p>
      <w:pPr>
        <w:spacing w:after="120"/>
      </w:pPr>
      <w:r>
        <w:t>In scope:</w:t>
      </w:r>
    </w:p>
    <w:p>
      <w:pPr>
        <w:pStyle w:val="ListBullet"/>
        <w:spacing w:after="40"/>
      </w:pPr>
      <w:r>
        <w:t>Intake and registration through CAPI, web, in-person, and USSD channels.</w:t>
      </w:r>
    </w:p>
    <w:p>
      <w:pPr>
        <w:pStyle w:val="ListBullet"/>
        <w:spacing w:after="40"/>
      </w:pPr>
      <w:r>
        <w:t>Household and individual data management with versioning, deduplication, and master data management.</w:t>
      </w:r>
    </w:p>
    <w:p>
      <w:pPr>
        <w:pStyle w:val="ListBullet"/>
        <w:spacing w:after="40"/>
      </w:pPr>
      <w:r>
        <w:t>Identity verification through NIRA, including bulk and real-time NIN validation, and birth/death event handling.</w:t>
      </w:r>
    </w:p>
    <w:p>
      <w:pPr>
        <w:pStyle w:val="ListBullet"/>
        <w:spacing w:after="40"/>
      </w:pPr>
      <w:r>
        <w:t>Proxy Means Test (PMT) and eligibility assessment with a configurable scoring engine.</w:t>
      </w:r>
    </w:p>
    <w:p>
      <w:pPr>
        <w:pStyle w:val="ListBullet"/>
        <w:spacing w:after="40"/>
      </w:pPr>
      <w:r>
        <w:t>Dynamic updates, recertification, and event-driven reassessment.</w:t>
      </w:r>
    </w:p>
    <w:p>
      <w:pPr>
        <w:pStyle w:val="ListBullet"/>
        <w:spacing w:after="40"/>
      </w:pPr>
      <w:r>
        <w:t>Grievance and correction request handling integrated with programme MIS GRMs.</w:t>
      </w:r>
    </w:p>
    <w:p>
      <w:pPr>
        <w:pStyle w:val="ListBullet"/>
        <w:spacing w:after="40"/>
      </w:pPr>
      <w:r>
        <w:t>Programme referral and enrolment interface for social protection programmes.</w:t>
      </w:r>
    </w:p>
    <w:p>
      <w:pPr>
        <w:pStyle w:val="ListBullet"/>
        <w:spacing w:after="40"/>
      </w:pPr>
      <w:r>
        <w:t>Interoperability and API gateway across MDAs and partner systems.</w:t>
      </w:r>
    </w:p>
    <w:p>
      <w:pPr>
        <w:pStyle w:val="ListBullet"/>
        <w:spacing w:after="40"/>
      </w:pPr>
      <w:r>
        <w:t>Reporting and analytics for management, M&amp;E, and the public.</w:t>
      </w:r>
    </w:p>
    <w:p>
      <w:pPr>
        <w:pStyle w:val="ListBullet"/>
        <w:spacing w:after="40"/>
      </w:pPr>
      <w:r>
        <w:t>Data requests and sharing management aligned to the 2019 Data Protection Act.</w:t>
      </w:r>
    </w:p>
    <w:p>
      <w:pPr>
        <w:pStyle w:val="ListBullet"/>
        <w:spacing w:after="40"/>
      </w:pPr>
      <w:r>
        <w:t>Single Registry / Beneficiary view consolidated through programme MIS data exchange.</w:t>
      </w:r>
    </w:p>
    <w:p>
      <w:pPr>
        <w:pStyle w:val="ListBullet"/>
        <w:spacing w:after="40"/>
      </w:pPr>
      <w:r>
        <w:t>User, role, consent, and audit management.</w:t>
      </w:r>
    </w:p>
    <w:p>
      <w:pPr>
        <w:spacing w:after="120"/>
      </w:pPr>
      <w:r>
        <w:t>Out of scope (current phase):</w:t>
      </w:r>
    </w:p>
    <w:p>
      <w:pPr>
        <w:pStyle w:val="ListBullet"/>
        <w:spacing w:after="40"/>
      </w:pPr>
      <w:r>
        <w:t>Programme-side case management and payment execution (handled by programme MISs).</w:t>
      </w:r>
    </w:p>
    <w:p>
      <w:pPr>
        <w:pStyle w:val="ListBullet"/>
        <w:spacing w:after="40"/>
      </w:pPr>
      <w:r>
        <w:t>Citizen-facing benefit delivery channels (handled by programme MISs and payment service providers).</w:t>
      </w:r>
    </w:p>
    <w:p>
      <w:pPr>
        <w:pStyle w:val="ListBullet"/>
        <w:spacing w:after="40"/>
      </w:pPr>
      <w:r>
        <w:t>Biometric matching beyond what NIRA exposes via API.</w:t>
      </w:r>
    </w:p>
    <w:p>
      <w:pPr>
        <w:pStyle w:val="Heading2"/>
      </w:pPr>
      <w:r>
        <w:t>1.3 Audience</w:t>
      </w:r>
    </w:p>
    <w:p>
      <w:pPr>
        <w:spacing w:after="120"/>
      </w:pPr>
      <w:r>
        <w:t>This document targets the NSR MIS development team and the M&amp;E and data teams within MGLSD. Stakeholder narrative is condensed to support technical decisions and is not intended as a policy paper.</w:t>
      </w:r>
    </w:p>
    <w:p>
      <w:pPr>
        <w:pStyle w:val="Heading2"/>
      </w:pPr>
      <w:r>
        <w:t>1.4 Document conventions</w:t>
      </w:r>
    </w:p>
    <w:p>
      <w:pPr>
        <w:pStyle w:val="ListBullet"/>
        <w:spacing w:after="40"/>
      </w:pPr>
      <w:r>
        <w:t>Requirements use 'shall' for mandatory and 'should' for recommended.</w:t>
      </w:r>
    </w:p>
    <w:p>
      <w:pPr>
        <w:pStyle w:val="ListBullet"/>
        <w:spacing w:after="40"/>
      </w:pPr>
      <w:r>
        <w:t>Functional requirements are identified per module (e.g., FR-INT-001 for the Intake module).</w:t>
      </w:r>
    </w:p>
    <w:p>
      <w:pPr>
        <w:pStyle w:val="ListBullet"/>
        <w:spacing w:after="40"/>
      </w:pPr>
      <w:r>
        <w:t>Non-functional requirements are identified by category (e.g., NFR-PERF-001).</w:t>
      </w:r>
    </w:p>
    <w:p>
      <w:pPr>
        <w:pStyle w:val="ListBullet"/>
        <w:spacing w:after="40"/>
      </w:pPr>
      <w:r>
        <w:t>User stories with acceptance criteria are maintained in the companion Excel backlog.</w:t>
      </w:r>
    </w:p>
    <w:p>
      <w:pPr>
        <w:pStyle w:val="Heading1"/>
      </w:pPr>
      <w:r>
        <w:t>2. Context and stakeholders</w:t>
      </w:r>
    </w:p>
    <w:p>
      <w:pPr>
        <w:pStyle w:val="Heading2"/>
      </w:pPr>
      <w:r>
        <w:t>2.1 National rationale</w:t>
      </w:r>
    </w:p>
    <w:p>
      <w:pPr>
        <w:spacing w:after="120"/>
      </w:pPr>
      <w:r>
        <w:t>Uganda's poverty rate hovers around 20.3% but only about 3% of the population is reached by current safety nets. Existing programmes (SAGE, NUSAF, DRDIP, NSSF, OVC MIS, women and youth empowerment, PDM) use different definitions of poverty and vulnerability, leading to duplication, gaps, and inconsistent targeting. The NSR provides a unified data backbone that all programmes draw from and contribute back to.</w:t>
      </w:r>
    </w:p>
    <w:p>
      <w:pPr>
        <w:pStyle w:val="Heading2"/>
      </w:pPr>
      <w:r>
        <w:t>2.2 Stakeholder map</w:t>
      </w:r>
    </w:p>
    <w:tbl>
      <w:tblPr>
        <w:tblStyle w:val="LightGrid-Accent1"/>
        <w:tblW w:type="auto" w:w="0"/>
        <w:tblLayout w:type="autofit"/>
        <w:tblLook w:firstColumn="1" w:firstRow="1" w:lastColumn="0" w:lastRow="0" w:noHBand="0" w:noVBand="1" w:val="04A0"/>
      </w:tblPr>
      <w:tblGrid>
        <w:gridCol w:w="4873"/>
        <w:gridCol w:w="4873"/>
      </w:tblGrid>
      <w:tr>
        <w:tc>
          <w:tcPr>
            <w:tcW w:type="dxa" w:w="2835"/>
            <w:shd w:val="clear" w:color="auto" w:fill="1F4E78"/>
            <w:vAlign w:val="top"/>
          </w:tcPr>
          <w:p>
            <w:r/>
            <w:r>
              <w:rPr>
                <w:b/>
                <w:color w:val="FFFFFF"/>
                <w:sz w:val="20"/>
              </w:rPr>
              <w:t>Stakeholder</w:t>
            </w:r>
          </w:p>
        </w:tc>
        <w:tc>
          <w:tcPr>
            <w:tcW w:type="dxa" w:w="6236"/>
            <w:shd w:val="clear" w:color="auto" w:fill="1F4E78"/>
            <w:vAlign w:val="top"/>
          </w:tcPr>
          <w:p>
            <w:r/>
            <w:r>
              <w:rPr>
                <w:b/>
                <w:color w:val="FFFFFF"/>
                <w:sz w:val="20"/>
              </w:rPr>
              <w:t>Role in the NSR MIS</w:t>
            </w:r>
          </w:p>
        </w:tc>
      </w:tr>
      <w:tr>
        <w:tc>
          <w:tcPr>
            <w:tcW w:type="dxa" w:w="2835"/>
            <w:vAlign w:val="top"/>
          </w:tcPr>
          <w:p>
            <w:r/>
            <w:r>
              <w:rPr>
                <w:sz w:val="20"/>
              </w:rPr>
              <w:t>MGLSD</w:t>
            </w:r>
          </w:p>
        </w:tc>
        <w:tc>
          <w:tcPr>
            <w:tcW w:type="dxa" w:w="6236"/>
            <w:vAlign w:val="top"/>
          </w:tcPr>
          <w:p>
            <w:r/>
            <w:r>
              <w:rPr>
                <w:sz w:val="20"/>
              </w:rPr>
              <w:t>Lead ministry, custodian of NSR data, hosts NSR Unit, primary product owner of the MIS.</w:t>
            </w:r>
          </w:p>
        </w:tc>
      </w:tr>
      <w:tr>
        <w:tc>
          <w:tcPr>
            <w:tcW w:type="dxa" w:w="2835"/>
            <w:vAlign w:val="top"/>
          </w:tcPr>
          <w:p>
            <w:r/>
            <w:r>
              <w:rPr>
                <w:sz w:val="20"/>
              </w:rPr>
              <w:t>UBOS</w:t>
            </w:r>
          </w:p>
        </w:tc>
        <w:tc>
          <w:tcPr>
            <w:tcW w:type="dxa" w:w="6236"/>
            <w:vAlign w:val="top"/>
          </w:tcPr>
          <w:p>
            <w:r/>
            <w:r>
              <w:rPr>
                <w:sz w:val="20"/>
              </w:rPr>
              <w:t>Field data collection lead, custodian of geographic master list and statistical standards.</w:t>
            </w:r>
          </w:p>
        </w:tc>
      </w:tr>
      <w:tr>
        <w:tc>
          <w:tcPr>
            <w:tcW w:type="dxa" w:w="2835"/>
            <w:vAlign w:val="top"/>
          </w:tcPr>
          <w:p>
            <w:r/>
            <w:r>
              <w:rPr>
                <w:sz w:val="20"/>
              </w:rPr>
              <w:t>OPM</w:t>
            </w:r>
          </w:p>
        </w:tc>
        <w:tc>
          <w:tcPr>
            <w:tcW w:type="dxa" w:w="6236"/>
            <w:vAlign w:val="top"/>
          </w:tcPr>
          <w:p>
            <w:r/>
            <w:r>
              <w:rPr>
                <w:sz w:val="20"/>
              </w:rPr>
              <w:t>Multi-sector coordination, disaster management; receives reports and integrates with disaster systems.</w:t>
            </w:r>
          </w:p>
        </w:tc>
      </w:tr>
      <w:tr>
        <w:tc>
          <w:tcPr>
            <w:tcW w:type="dxa" w:w="2835"/>
            <w:vAlign w:val="top"/>
          </w:tcPr>
          <w:p>
            <w:r/>
            <w:r>
              <w:rPr>
                <w:sz w:val="20"/>
              </w:rPr>
              <w:t>NIRA</w:t>
            </w:r>
          </w:p>
        </w:tc>
        <w:tc>
          <w:tcPr>
            <w:tcW w:type="dxa" w:w="6236"/>
            <w:vAlign w:val="top"/>
          </w:tcPr>
          <w:p>
            <w:r/>
            <w:r>
              <w:rPr>
                <w:sz w:val="20"/>
              </w:rPr>
              <w:t>Identity verification API, NIN issuance, vital events feeds (births, deaths).</w:t>
            </w:r>
          </w:p>
        </w:tc>
      </w:tr>
      <w:tr>
        <w:tc>
          <w:tcPr>
            <w:tcW w:type="dxa" w:w="2835"/>
            <w:vAlign w:val="top"/>
          </w:tcPr>
          <w:p>
            <w:r/>
            <w:r>
              <w:rPr>
                <w:sz w:val="20"/>
              </w:rPr>
              <w:t>NITA-U</w:t>
            </w:r>
          </w:p>
        </w:tc>
        <w:tc>
          <w:tcPr>
            <w:tcW w:type="dxa" w:w="6236"/>
            <w:vAlign w:val="top"/>
          </w:tcPr>
          <w:p>
            <w:r/>
            <w:r>
              <w:rPr>
                <w:sz w:val="20"/>
              </w:rPr>
              <w:t>Infrastructure hosting, cybersecurity, e-government standards, secondary data centre for DR.</w:t>
            </w:r>
          </w:p>
        </w:tc>
      </w:tr>
      <w:tr>
        <w:tc>
          <w:tcPr>
            <w:tcW w:type="dxa" w:w="2835"/>
            <w:vAlign w:val="top"/>
          </w:tcPr>
          <w:p>
            <w:r/>
            <w:r>
              <w:rPr>
                <w:sz w:val="20"/>
              </w:rPr>
              <w:t>MoLG and Local Governments</w:t>
            </w:r>
          </w:p>
        </w:tc>
        <w:tc>
          <w:tcPr>
            <w:tcW w:type="dxa" w:w="6236"/>
            <w:vAlign w:val="top"/>
          </w:tcPr>
          <w:p>
            <w:r/>
            <w:r>
              <w:rPr>
                <w:sz w:val="20"/>
              </w:rPr>
              <w:t>Parish Chiefs, CDOs, parish development structures: mobilisation, on-demand intake, validation, GRM at L1.</w:t>
            </w:r>
          </w:p>
        </w:tc>
      </w:tr>
      <w:tr>
        <w:tc>
          <w:tcPr>
            <w:tcW w:type="dxa" w:w="2835"/>
            <w:vAlign w:val="top"/>
          </w:tcPr>
          <w:p>
            <w:r/>
            <w:r>
              <w:rPr>
                <w:sz w:val="20"/>
              </w:rPr>
              <w:t>MoH (DHIS2 / HMIS)</w:t>
            </w:r>
          </w:p>
        </w:tc>
        <w:tc>
          <w:tcPr>
            <w:tcW w:type="dxa" w:w="6236"/>
            <w:vAlign w:val="top"/>
          </w:tcPr>
          <w:p>
            <w:r/>
            <w:r>
              <w:rPr>
                <w:sz w:val="20"/>
              </w:rPr>
              <w:t>Health and nutrition signals for vulnerability and life-event updates.</w:t>
            </w:r>
          </w:p>
        </w:tc>
      </w:tr>
      <w:tr>
        <w:tc>
          <w:tcPr>
            <w:tcW w:type="dxa" w:w="2835"/>
            <w:vAlign w:val="top"/>
          </w:tcPr>
          <w:p>
            <w:r/>
            <w:r>
              <w:rPr>
                <w:sz w:val="20"/>
              </w:rPr>
              <w:t>MoES (EMIS)</w:t>
            </w:r>
          </w:p>
        </w:tc>
        <w:tc>
          <w:tcPr>
            <w:tcW w:type="dxa" w:w="6236"/>
            <w:vAlign w:val="top"/>
          </w:tcPr>
          <w:p>
            <w:r/>
            <w:r>
              <w:rPr>
                <w:sz w:val="20"/>
              </w:rPr>
              <w:t>School enrolment and attendance for member-level education fields.</w:t>
            </w:r>
          </w:p>
        </w:tc>
      </w:tr>
      <w:tr>
        <w:tc>
          <w:tcPr>
            <w:tcW w:type="dxa" w:w="2835"/>
            <w:vAlign w:val="top"/>
          </w:tcPr>
          <w:p>
            <w:r/>
            <w:r>
              <w:rPr>
                <w:sz w:val="20"/>
              </w:rPr>
              <w:t>Programme implementing agencies</w:t>
            </w:r>
          </w:p>
        </w:tc>
        <w:tc>
          <w:tcPr>
            <w:tcW w:type="dxa" w:w="6236"/>
            <w:vAlign w:val="top"/>
          </w:tcPr>
          <w:p>
            <w:r/>
            <w:r>
              <w:rPr>
                <w:sz w:val="20"/>
              </w:rPr>
              <w:t>Pull beneficiaries from NSR; push enrolment, payment, exit, grievance events back via API.</w:t>
            </w:r>
          </w:p>
        </w:tc>
      </w:tr>
      <w:tr>
        <w:tc>
          <w:tcPr>
            <w:tcW w:type="dxa" w:w="2835"/>
            <w:vAlign w:val="top"/>
          </w:tcPr>
          <w:p>
            <w:r/>
            <w:r>
              <w:rPr>
                <w:sz w:val="20"/>
              </w:rPr>
              <w:t>Development partners</w:t>
            </w:r>
          </w:p>
        </w:tc>
        <w:tc>
          <w:tcPr>
            <w:tcW w:type="dxa" w:w="6236"/>
            <w:vAlign w:val="top"/>
          </w:tcPr>
          <w:p>
            <w:r/>
            <w:r>
              <w:rPr>
                <w:sz w:val="20"/>
              </w:rPr>
              <w:t>Technical assistance, financing (World Bank, UNICEF, WFP, FAO).</w:t>
            </w:r>
          </w:p>
        </w:tc>
      </w:tr>
      <w:tr>
        <w:tc>
          <w:tcPr>
            <w:tcW w:type="dxa" w:w="2835"/>
            <w:vAlign w:val="top"/>
          </w:tcPr>
          <w:p>
            <w:r/>
            <w:r>
              <w:rPr>
                <w:sz w:val="20"/>
              </w:rPr>
              <w:t>Civil society and households</w:t>
            </w:r>
          </w:p>
        </w:tc>
        <w:tc>
          <w:tcPr>
            <w:tcW w:type="dxa" w:w="6236"/>
            <w:vAlign w:val="top"/>
          </w:tcPr>
          <w:p>
            <w:r/>
            <w:r>
              <w:rPr>
                <w:sz w:val="20"/>
              </w:rPr>
              <w:t>Validate data, raise grievances, exercise consent and data rights.</w:t>
            </w:r>
          </w:p>
        </w:tc>
      </w:tr>
    </w:tbl>
    <w:p/>
    <w:p>
      <w:pPr>
        <w:pStyle w:val="Heading2"/>
      </w:pPr>
      <w:r>
        <w:t>2.3 NSR MIS roles within MGLSD</w:t>
      </w:r>
    </w:p>
    <w:p>
      <w:pPr>
        <w:spacing w:after="120"/>
      </w:pPr>
      <w:r>
        <w:t>The NSR Unit will operate the MIS, working with NITA-U for infrastructure. Critical internal roles include the SR Coordinator, SR Project Manager / MIS Specialist, Systems Architect, Application Developer, Database Administrator, Data Analyst, M&amp;E Officer, Communications Officer, Grievance and Case Management Officer, and Admin Officer.</w:t>
      </w:r>
    </w:p>
    <w:p>
      <w:pPr>
        <w:pStyle w:val="Heading1"/>
      </w:pPr>
      <w:r>
        <w:t>3. Uganda geographic master list</w:t>
      </w:r>
    </w:p>
    <w:p>
      <w:pPr>
        <w:spacing w:after="120"/>
      </w:pPr>
      <w:r>
        <w:t>All location fields shall use the UBOS administrative hierarchy under the Local Government Act (as amended). The MIS shall hold these as a versioned reference dataset, sourced from UBOS, and synchronised periodically. Current levels as of 2025 are summarised below.</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134"/>
            <w:shd w:val="clear" w:color="auto" w:fill="1F4E78"/>
            <w:vAlign w:val="top"/>
          </w:tcPr>
          <w:p>
            <w:r/>
            <w:r>
              <w:rPr>
                <w:b/>
                <w:color w:val="FFFFFF"/>
                <w:sz w:val="20"/>
              </w:rPr>
              <w:t>Level</w:t>
            </w:r>
          </w:p>
        </w:tc>
        <w:tc>
          <w:tcPr>
            <w:tcW w:type="dxa" w:w="2835"/>
            <w:shd w:val="clear" w:color="auto" w:fill="1F4E78"/>
            <w:vAlign w:val="top"/>
          </w:tcPr>
          <w:p>
            <w:r/>
            <w:r>
              <w:rPr>
                <w:b/>
                <w:color w:val="FFFFFF"/>
                <w:sz w:val="20"/>
              </w:rPr>
              <w:t>Local Government term</w:t>
            </w:r>
          </w:p>
        </w:tc>
        <w:tc>
          <w:tcPr>
            <w:tcW w:type="dxa" w:w="2835"/>
            <w:shd w:val="clear" w:color="auto" w:fill="1F4E78"/>
            <w:vAlign w:val="top"/>
          </w:tcPr>
          <w:p>
            <w:r/>
            <w:r>
              <w:rPr>
                <w:b/>
                <w:color w:val="FFFFFF"/>
                <w:sz w:val="20"/>
              </w:rPr>
              <w:t>Approximate count</w:t>
            </w:r>
          </w:p>
        </w:tc>
        <w:tc>
          <w:tcPr>
            <w:tcW w:type="dxa" w:w="2835"/>
            <w:shd w:val="clear" w:color="auto" w:fill="1F4E78"/>
            <w:vAlign w:val="top"/>
          </w:tcPr>
          <w:p>
            <w:r/>
            <w:r>
              <w:rPr>
                <w:b/>
                <w:color w:val="FFFFFF"/>
                <w:sz w:val="20"/>
              </w:rPr>
              <w:t>Notes</w:t>
            </w:r>
          </w:p>
        </w:tc>
      </w:tr>
      <w:tr>
        <w:tc>
          <w:tcPr>
            <w:tcW w:type="dxa" w:w="1134"/>
            <w:vAlign w:val="top"/>
          </w:tcPr>
          <w:p>
            <w:r/>
            <w:r>
              <w:rPr>
                <w:sz w:val="20"/>
              </w:rPr>
              <w:t>LC5</w:t>
            </w:r>
          </w:p>
        </w:tc>
        <w:tc>
          <w:tcPr>
            <w:tcW w:type="dxa" w:w="2835"/>
            <w:vAlign w:val="top"/>
          </w:tcPr>
          <w:p>
            <w:r/>
            <w:r>
              <w:rPr>
                <w:sz w:val="20"/>
              </w:rPr>
              <w:t>District / City</w:t>
            </w:r>
          </w:p>
        </w:tc>
        <w:tc>
          <w:tcPr>
            <w:tcW w:type="dxa" w:w="2835"/>
            <w:vAlign w:val="top"/>
          </w:tcPr>
          <w:p>
            <w:r/>
            <w:r>
              <w:rPr>
                <w:sz w:val="20"/>
              </w:rPr>
              <w:t>146 districts + 10 cities</w:t>
            </w:r>
          </w:p>
        </w:tc>
        <w:tc>
          <w:tcPr>
            <w:tcW w:type="dxa" w:w="2835"/>
            <w:vAlign w:val="top"/>
          </w:tcPr>
          <w:p>
            <w:r/>
            <w:r>
              <w:rPr>
                <w:sz w:val="20"/>
              </w:rPr>
              <w:t>Includes Kampala Capital City Authority.</w:t>
            </w:r>
          </w:p>
        </w:tc>
      </w:tr>
      <w:tr>
        <w:tc>
          <w:tcPr>
            <w:tcW w:type="dxa" w:w="1134"/>
            <w:vAlign w:val="top"/>
          </w:tcPr>
          <w:p>
            <w:r/>
            <w:r>
              <w:rPr>
                <w:sz w:val="20"/>
              </w:rPr>
              <w:t>LC4</w:t>
            </w:r>
          </w:p>
        </w:tc>
        <w:tc>
          <w:tcPr>
            <w:tcW w:type="dxa" w:w="2835"/>
            <w:vAlign w:val="top"/>
          </w:tcPr>
          <w:p>
            <w:r/>
            <w:r>
              <w:rPr>
                <w:sz w:val="20"/>
              </w:rPr>
              <w:t>Municipal / City Division</w:t>
            </w:r>
          </w:p>
        </w:tc>
        <w:tc>
          <w:tcPr>
            <w:tcW w:type="dxa" w:w="2835"/>
            <w:vAlign w:val="top"/>
          </w:tcPr>
          <w:p>
            <w:r/>
            <w:r>
              <w:rPr>
                <w:sz w:val="20"/>
              </w:rPr>
              <w:t>31 municipal + 20 city division + 89 municipal division councils</w:t>
            </w:r>
          </w:p>
        </w:tc>
        <w:tc>
          <w:tcPr>
            <w:tcW w:type="dxa" w:w="2835"/>
            <w:vAlign w:val="top"/>
          </w:tcPr>
          <w:p>
            <w:r/>
            <w:r>
              <w:rPr>
                <w:sz w:val="20"/>
              </w:rPr>
              <w:t>Urban second-level units.</w:t>
            </w:r>
          </w:p>
        </w:tc>
      </w:tr>
      <w:tr>
        <w:tc>
          <w:tcPr>
            <w:tcW w:type="dxa" w:w="1134"/>
            <w:vAlign w:val="top"/>
          </w:tcPr>
          <w:p>
            <w:r/>
            <w:r>
              <w:rPr>
                <w:sz w:val="20"/>
              </w:rPr>
              <w:t>LC3</w:t>
            </w:r>
          </w:p>
        </w:tc>
        <w:tc>
          <w:tcPr>
            <w:tcW w:type="dxa" w:w="2835"/>
            <w:vAlign w:val="top"/>
          </w:tcPr>
          <w:p>
            <w:r/>
            <w:r>
              <w:rPr>
                <w:sz w:val="20"/>
              </w:rPr>
              <w:t>Sub-county / Town Council / Division</w:t>
            </w:r>
          </w:p>
        </w:tc>
        <w:tc>
          <w:tcPr>
            <w:tcW w:type="dxa" w:w="2835"/>
            <w:vAlign w:val="top"/>
          </w:tcPr>
          <w:p>
            <w:r/>
            <w:r>
              <w:rPr>
                <w:sz w:val="20"/>
              </w:rPr>
              <w:t>1,495 sub-counties + 581 town councils + 89 municipal divisions</w:t>
            </w:r>
          </w:p>
        </w:tc>
        <w:tc>
          <w:tcPr>
            <w:tcW w:type="dxa" w:w="2835"/>
            <w:vAlign w:val="top"/>
          </w:tcPr>
          <w:p>
            <w:r/>
            <w:r>
              <w:rPr>
                <w:sz w:val="20"/>
              </w:rPr>
              <w:t>Operational level for CDOs.</w:t>
            </w:r>
          </w:p>
        </w:tc>
      </w:tr>
      <w:tr>
        <w:tc>
          <w:tcPr>
            <w:tcW w:type="dxa" w:w="1134"/>
            <w:vAlign w:val="top"/>
          </w:tcPr>
          <w:p>
            <w:r/>
            <w:r>
              <w:rPr>
                <w:sz w:val="20"/>
              </w:rPr>
              <w:t>LC2</w:t>
            </w:r>
          </w:p>
        </w:tc>
        <w:tc>
          <w:tcPr>
            <w:tcW w:type="dxa" w:w="2835"/>
            <w:vAlign w:val="top"/>
          </w:tcPr>
          <w:p>
            <w:r/>
            <w:r>
              <w:rPr>
                <w:sz w:val="20"/>
              </w:rPr>
              <w:t>Parish / Ward</w:t>
            </w:r>
          </w:p>
        </w:tc>
        <w:tc>
          <w:tcPr>
            <w:tcW w:type="dxa" w:w="2835"/>
            <w:vAlign w:val="top"/>
          </w:tcPr>
          <w:p>
            <w:r/>
            <w:r>
              <w:rPr>
                <w:sz w:val="20"/>
              </w:rPr>
              <w:t>10,594</w:t>
            </w:r>
          </w:p>
        </w:tc>
        <w:tc>
          <w:tcPr>
            <w:tcW w:type="dxa" w:w="2835"/>
            <w:vAlign w:val="top"/>
          </w:tcPr>
          <w:p>
            <w:r/>
            <w:r>
              <w:rPr>
                <w:sz w:val="20"/>
              </w:rPr>
              <w:t>Operational level for Parish Chiefs and PDM.</w:t>
            </w:r>
          </w:p>
        </w:tc>
      </w:tr>
      <w:tr>
        <w:tc>
          <w:tcPr>
            <w:tcW w:type="dxa" w:w="1134"/>
            <w:vAlign w:val="top"/>
          </w:tcPr>
          <w:p>
            <w:r/>
            <w:r>
              <w:rPr>
                <w:sz w:val="20"/>
              </w:rPr>
              <w:t>LC1</w:t>
            </w:r>
          </w:p>
        </w:tc>
        <w:tc>
          <w:tcPr>
            <w:tcW w:type="dxa" w:w="2835"/>
            <w:vAlign w:val="top"/>
          </w:tcPr>
          <w:p>
            <w:r/>
            <w:r>
              <w:rPr>
                <w:sz w:val="20"/>
              </w:rPr>
              <w:t>Village / Cell</w:t>
            </w:r>
          </w:p>
        </w:tc>
        <w:tc>
          <w:tcPr>
            <w:tcW w:type="dxa" w:w="2835"/>
            <w:vAlign w:val="top"/>
          </w:tcPr>
          <w:p>
            <w:r/>
            <w:r>
              <w:rPr>
                <w:sz w:val="20"/>
              </w:rPr>
              <w:t>70,512</w:t>
            </w:r>
          </w:p>
        </w:tc>
        <w:tc>
          <w:tcPr>
            <w:tcW w:type="dxa" w:w="2835"/>
            <w:vAlign w:val="top"/>
          </w:tcPr>
          <w:p>
            <w:r/>
            <w:r>
              <w:rPr>
                <w:sz w:val="20"/>
              </w:rPr>
              <w:t>Smallest administrative unit; community-level.</w:t>
            </w:r>
          </w:p>
        </w:tc>
      </w:tr>
    </w:tbl>
    <w:p/>
    <w:p>
      <w:pPr>
        <w:spacing w:after="120"/>
      </w:pPr>
      <w:r>
        <w:t>The MIS shall represent the hierarchy as Region (UBOS statistical region) &gt; Sub-region &gt; District/City &gt; County/Municipality &gt; Sub-county/Town Council/Division &gt; Parish/Ward &gt; Village/Cell. Codes shall match UBOS-issued identifiers, retain historical codes after district splits or mergers, and expose a re-coding helper for bulk updates. The reference data shall be queryable via API for downstream systems.</w:t>
      </w:r>
    </w:p>
    <w:p>
      <w:pPr>
        <w:spacing w:after="120"/>
      </w:pPr>
      <w:r>
        <w:t>Note: The Government of Uganda is reviewing new administrative units ahead of the 2026 general elections. The MIS shall accept reference-data updates without code changes and shall maintain effective dates on every reference row.</w:t>
      </w:r>
    </w:p>
    <w:p>
      <w:pPr>
        <w:pStyle w:val="Heading1"/>
      </w:pPr>
      <w:r>
        <w:t>4. Data model (indicative)</w:t>
      </w:r>
    </w:p>
    <w:p>
      <w:pPr>
        <w:spacing w:after="120"/>
      </w:pPr>
      <w:r>
        <w:t>The data collection questionnaire is identified in the Framework as a future deliverable. The NDSR Data Collection_final_draft.docx is a field strategy, not an instrument. The data model below is an indicative schema derived from the PMT and the vulnerability domains named in the Framework and the TOR. It shall be validated against the final UBOS-MGLSD questionnaire before code is frozen.</w:t>
      </w:r>
    </w:p>
    <w:p>
      <w:pPr>
        <w:pStyle w:val="Heading2"/>
      </w:pPr>
      <w:r>
        <w:t>4.1 Core entities</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4E78"/>
            <w:vAlign w:val="top"/>
          </w:tcPr>
          <w:p>
            <w:r/>
            <w:r>
              <w:rPr>
                <w:b/>
                <w:color w:val="FFFFFF"/>
                <w:sz w:val="20"/>
              </w:rPr>
              <w:t>Entity</w:t>
            </w:r>
          </w:p>
        </w:tc>
        <w:tc>
          <w:tcPr>
            <w:tcW w:type="dxa" w:w="6520"/>
            <w:shd w:val="clear" w:color="auto" w:fill="1F4E78"/>
            <w:vAlign w:val="top"/>
          </w:tcPr>
          <w:p>
            <w:r/>
            <w:r>
              <w:rPr>
                <w:b/>
                <w:color w:val="FFFFFF"/>
                <w:sz w:val="20"/>
              </w:rPr>
              <w:t>Purpose</w:t>
            </w:r>
          </w:p>
        </w:tc>
      </w:tr>
      <w:tr>
        <w:tc>
          <w:tcPr>
            <w:tcW w:type="dxa" w:w="2551"/>
            <w:vAlign w:val="top"/>
          </w:tcPr>
          <w:p>
            <w:r/>
            <w:r>
              <w:rPr>
                <w:sz w:val="20"/>
              </w:rPr>
              <w:t>Household</w:t>
            </w:r>
          </w:p>
        </w:tc>
        <w:tc>
          <w:tcPr>
            <w:tcW w:type="dxa" w:w="6520"/>
            <w:vAlign w:val="top"/>
          </w:tcPr>
          <w:p>
            <w:r/>
            <w:r>
              <w:rPr>
                <w:sz w:val="20"/>
              </w:rPr>
              <w:t>Primary unit of analysis. Has a unique Registry ID, head of household, GPS, address, and a current PMT score and band.</w:t>
            </w:r>
          </w:p>
        </w:tc>
      </w:tr>
      <w:tr>
        <w:tc>
          <w:tcPr>
            <w:tcW w:type="dxa" w:w="2551"/>
            <w:vAlign w:val="top"/>
          </w:tcPr>
          <w:p>
            <w:r/>
            <w:r>
              <w:rPr>
                <w:sz w:val="20"/>
              </w:rPr>
              <w:t>Member</w:t>
            </w:r>
          </w:p>
        </w:tc>
        <w:tc>
          <w:tcPr>
            <w:tcW w:type="dxa" w:w="6520"/>
            <w:vAlign w:val="top"/>
          </w:tcPr>
          <w:p>
            <w:r/>
            <w:r>
              <w:rPr>
                <w:sz w:val="20"/>
              </w:rPr>
              <w:t>An individual in a household. Has a unique person ID, NIN (optional), demographics, education, employment, health flags, disability flags.</w:t>
            </w:r>
          </w:p>
        </w:tc>
      </w:tr>
      <w:tr>
        <w:tc>
          <w:tcPr>
            <w:tcW w:type="dxa" w:w="2551"/>
            <w:vAlign w:val="top"/>
          </w:tcPr>
          <w:p>
            <w:r/>
            <w:r>
              <w:rPr>
                <w:sz w:val="20"/>
              </w:rPr>
              <w:t>Relationship</w:t>
            </w:r>
          </w:p>
        </w:tc>
        <w:tc>
          <w:tcPr>
            <w:tcW w:type="dxa" w:w="6520"/>
            <w:vAlign w:val="top"/>
          </w:tcPr>
          <w:p>
            <w:r/>
            <w:r>
              <w:rPr>
                <w:sz w:val="20"/>
              </w:rPr>
              <w:t>Linkage between members within a household (head, spouse, child, parent, dependent, other).</w:t>
            </w:r>
          </w:p>
        </w:tc>
      </w:tr>
      <w:tr>
        <w:tc>
          <w:tcPr>
            <w:tcW w:type="dxa" w:w="2551"/>
            <w:vAlign w:val="top"/>
          </w:tcPr>
          <w:p>
            <w:r/>
            <w:r>
              <w:rPr>
                <w:sz w:val="20"/>
              </w:rPr>
              <w:t>Consent</w:t>
            </w:r>
          </w:p>
        </w:tc>
        <w:tc>
          <w:tcPr>
            <w:tcW w:type="dxa" w:w="6520"/>
            <w:vAlign w:val="top"/>
          </w:tcPr>
          <w:p>
            <w:r/>
            <w:r>
              <w:rPr>
                <w:sz w:val="20"/>
              </w:rPr>
              <w:t>Per individual consent record per purpose, with version and capture metadata.</w:t>
            </w:r>
          </w:p>
        </w:tc>
      </w:tr>
      <w:tr>
        <w:tc>
          <w:tcPr>
            <w:tcW w:type="dxa" w:w="2551"/>
            <w:vAlign w:val="top"/>
          </w:tcPr>
          <w:p>
            <w:r/>
            <w:r>
              <w:rPr>
                <w:sz w:val="20"/>
              </w:rPr>
              <w:t>Intake</w:t>
            </w:r>
          </w:p>
        </w:tc>
        <w:tc>
          <w:tcPr>
            <w:tcW w:type="dxa" w:w="6520"/>
            <w:vAlign w:val="top"/>
          </w:tcPr>
          <w:p>
            <w:r/>
            <w:r>
              <w:rPr>
                <w:sz w:val="20"/>
              </w:rPr>
              <w:t>Submission event with channel, enumerator, version of the form, location, GPS, and timestamp.</w:t>
            </w:r>
          </w:p>
        </w:tc>
      </w:tr>
      <w:tr>
        <w:tc>
          <w:tcPr>
            <w:tcW w:type="dxa" w:w="2551"/>
            <w:vAlign w:val="top"/>
          </w:tcPr>
          <w:p>
            <w:r/>
            <w:r>
              <w:rPr>
                <w:sz w:val="20"/>
              </w:rPr>
              <w:t>Update</w:t>
            </w:r>
          </w:p>
        </w:tc>
        <w:tc>
          <w:tcPr>
            <w:tcW w:type="dxa" w:w="6520"/>
            <w:vAlign w:val="top"/>
          </w:tcPr>
          <w:p>
            <w:r/>
            <w:r>
              <w:rPr>
                <w:sz w:val="20"/>
              </w:rPr>
              <w:t>Change event with old/new values, source channel, approver, and lineage.</w:t>
            </w:r>
          </w:p>
        </w:tc>
      </w:tr>
      <w:tr>
        <w:tc>
          <w:tcPr>
            <w:tcW w:type="dxa" w:w="2551"/>
            <w:vAlign w:val="top"/>
          </w:tcPr>
          <w:p>
            <w:r/>
            <w:r>
              <w:rPr>
                <w:sz w:val="20"/>
              </w:rPr>
              <w:t>Grievance</w:t>
            </w:r>
          </w:p>
        </w:tc>
        <w:tc>
          <w:tcPr>
            <w:tcW w:type="dxa" w:w="6520"/>
            <w:vAlign w:val="top"/>
          </w:tcPr>
          <w:p>
            <w:r/>
            <w:r>
              <w:rPr>
                <w:sz w:val="20"/>
              </w:rPr>
              <w:t>Case record with category, status, tier, SLA, and resolution.</w:t>
            </w:r>
          </w:p>
        </w:tc>
      </w:tr>
      <w:tr>
        <w:tc>
          <w:tcPr>
            <w:tcW w:type="dxa" w:w="2551"/>
            <w:vAlign w:val="top"/>
          </w:tcPr>
          <w:p>
            <w:r/>
            <w:r>
              <w:rPr>
                <w:sz w:val="20"/>
              </w:rPr>
              <w:t>Programme Enrolment</w:t>
            </w:r>
          </w:p>
        </w:tc>
        <w:tc>
          <w:tcPr>
            <w:tcW w:type="dxa" w:w="6520"/>
            <w:vAlign w:val="top"/>
          </w:tcPr>
          <w:p>
            <w:r/>
            <w:r>
              <w:rPr>
                <w:sz w:val="20"/>
              </w:rPr>
              <w:t>Per programme membership: status, effective date, exit reason.</w:t>
            </w:r>
          </w:p>
        </w:tc>
      </w:tr>
      <w:tr>
        <w:tc>
          <w:tcPr>
            <w:tcW w:type="dxa" w:w="2551"/>
            <w:vAlign w:val="top"/>
          </w:tcPr>
          <w:p>
            <w:r/>
            <w:r>
              <w:rPr>
                <w:sz w:val="20"/>
              </w:rPr>
              <w:t>Payment Event</w:t>
            </w:r>
          </w:p>
        </w:tc>
        <w:tc>
          <w:tcPr>
            <w:tcW w:type="dxa" w:w="6520"/>
            <w:vAlign w:val="top"/>
          </w:tcPr>
          <w:p>
            <w:r/>
            <w:r>
              <w:rPr>
                <w:sz w:val="20"/>
              </w:rPr>
              <w:t>Programme-MIS-sourced payment metadata (no execution): amount, frequency, status.</w:t>
            </w:r>
          </w:p>
        </w:tc>
      </w:tr>
      <w:tr>
        <w:tc>
          <w:tcPr>
            <w:tcW w:type="dxa" w:w="2551"/>
            <w:vAlign w:val="top"/>
          </w:tcPr>
          <w:p>
            <w:r/>
            <w:r>
              <w:rPr>
                <w:sz w:val="20"/>
              </w:rPr>
              <w:t>Data-Sharing Request</w:t>
            </w:r>
          </w:p>
        </w:tc>
        <w:tc>
          <w:tcPr>
            <w:tcW w:type="dxa" w:w="6520"/>
            <w:vAlign w:val="top"/>
          </w:tcPr>
          <w:p>
            <w:r/>
            <w:r>
              <w:rPr>
                <w:sz w:val="20"/>
              </w:rPr>
              <w:t>Request, DSA reference, scope, decision, extract reference.</w:t>
            </w:r>
          </w:p>
        </w:tc>
      </w:tr>
      <w:tr>
        <w:tc>
          <w:tcPr>
            <w:tcW w:type="dxa" w:w="2551"/>
            <w:vAlign w:val="top"/>
          </w:tcPr>
          <w:p>
            <w:r/>
            <w:r>
              <w:rPr>
                <w:sz w:val="20"/>
              </w:rPr>
              <w:t>Audit Log</w:t>
            </w:r>
          </w:p>
        </w:tc>
        <w:tc>
          <w:tcPr>
            <w:tcW w:type="dxa" w:w="6520"/>
            <w:vAlign w:val="top"/>
          </w:tcPr>
          <w:p>
            <w:r/>
            <w:r>
              <w:rPr>
                <w:sz w:val="20"/>
              </w:rPr>
              <w:t>Immutable record of every action: who, what, when, where (IP, browser), why.</w:t>
            </w:r>
          </w:p>
        </w:tc>
      </w:tr>
      <w:tr>
        <w:tc>
          <w:tcPr>
            <w:tcW w:type="dxa" w:w="2551"/>
            <w:vAlign w:val="top"/>
          </w:tcPr>
          <w:p>
            <w:r/>
            <w:r>
              <w:rPr>
                <w:sz w:val="20"/>
              </w:rPr>
              <w:t>Geographic Unit</w:t>
            </w:r>
          </w:p>
        </w:tc>
        <w:tc>
          <w:tcPr>
            <w:tcW w:type="dxa" w:w="6520"/>
            <w:vAlign w:val="top"/>
          </w:tcPr>
          <w:p>
            <w:r/>
            <w:r>
              <w:rPr>
                <w:sz w:val="20"/>
              </w:rPr>
              <w:t>Versioned UBOS reference (region, district, county, sub-county, parish, village).</w:t>
            </w:r>
          </w:p>
        </w:tc>
      </w:tr>
      <w:tr>
        <w:tc>
          <w:tcPr>
            <w:tcW w:type="dxa" w:w="2551"/>
            <w:vAlign w:val="top"/>
          </w:tcPr>
          <w:p>
            <w:r/>
            <w:r>
              <w:rPr>
                <w:sz w:val="20"/>
              </w:rPr>
              <w:t>Form Version</w:t>
            </w:r>
          </w:p>
        </w:tc>
        <w:tc>
          <w:tcPr>
            <w:tcW w:type="dxa" w:w="6520"/>
            <w:vAlign w:val="top"/>
          </w:tcPr>
          <w:p>
            <w:r/>
            <w:r>
              <w:rPr>
                <w:sz w:val="20"/>
              </w:rPr>
              <w:t>Versioned questionnaire definitions and choice lists.</w:t>
            </w:r>
          </w:p>
        </w:tc>
      </w:tr>
      <w:tr>
        <w:tc>
          <w:tcPr>
            <w:tcW w:type="dxa" w:w="2551"/>
            <w:vAlign w:val="top"/>
          </w:tcPr>
          <w:p>
            <w:r/>
            <w:r>
              <w:rPr>
                <w:sz w:val="20"/>
              </w:rPr>
              <w:t>PMT Model Version</w:t>
            </w:r>
          </w:p>
        </w:tc>
        <w:tc>
          <w:tcPr>
            <w:tcW w:type="dxa" w:w="6520"/>
            <w:vAlign w:val="top"/>
          </w:tcPr>
          <w:p>
            <w:r/>
            <w:r>
              <w:rPr>
                <w:sz w:val="20"/>
              </w:rPr>
              <w:t>Versioned PMT formula, weights, and activation status.</w:t>
            </w:r>
          </w:p>
        </w:tc>
      </w:tr>
    </w:tbl>
    <w:p/>
    <w:p>
      <w:pPr>
        <w:pStyle w:val="Heading2"/>
      </w:pPr>
      <w:r>
        <w:t>4.2 Indicative field domains (subject to validation)</w:t>
      </w:r>
    </w:p>
    <w:p>
      <w:pPr>
        <w:spacing w:after="120"/>
      </w:pPr>
      <w:r>
        <w:t>The intake questionnaire shall capture the following domains. Field-level definitions and codes shall come from the final instrument and the UBOS statistical standards.</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4E78"/>
            <w:vAlign w:val="top"/>
          </w:tcPr>
          <w:p>
            <w:r/>
            <w:r>
              <w:rPr>
                <w:b/>
                <w:color w:val="FFFFFF"/>
                <w:sz w:val="20"/>
              </w:rPr>
              <w:t>Domain</w:t>
            </w:r>
          </w:p>
        </w:tc>
        <w:tc>
          <w:tcPr>
            <w:tcW w:type="dxa" w:w="6520"/>
            <w:shd w:val="clear" w:color="auto" w:fill="1F4E78"/>
            <w:vAlign w:val="top"/>
          </w:tcPr>
          <w:p>
            <w:r/>
            <w:r>
              <w:rPr>
                <w:b/>
                <w:color w:val="FFFFFF"/>
                <w:sz w:val="20"/>
              </w:rPr>
              <w:t>Indicative fields</w:t>
            </w:r>
          </w:p>
        </w:tc>
      </w:tr>
      <w:tr>
        <w:tc>
          <w:tcPr>
            <w:tcW w:type="dxa" w:w="2551"/>
            <w:vAlign w:val="top"/>
          </w:tcPr>
          <w:p>
            <w:r/>
            <w:r>
              <w:rPr>
                <w:sz w:val="20"/>
              </w:rPr>
              <w:t>Household identification</w:t>
            </w:r>
          </w:p>
        </w:tc>
        <w:tc>
          <w:tcPr>
            <w:tcW w:type="dxa" w:w="6520"/>
            <w:vAlign w:val="top"/>
          </w:tcPr>
          <w:p>
            <w:r/>
            <w:r>
              <w:rPr>
                <w:sz w:val="20"/>
              </w:rPr>
              <w:t>Registry ID, intake date, intake channel, enumerator ID, supervisor ID, GPS, full address, geographic codes.</w:t>
            </w:r>
          </w:p>
        </w:tc>
      </w:tr>
      <w:tr>
        <w:tc>
          <w:tcPr>
            <w:tcW w:type="dxa" w:w="2551"/>
            <w:vAlign w:val="top"/>
          </w:tcPr>
          <w:p>
            <w:r/>
            <w:r>
              <w:rPr>
                <w:sz w:val="20"/>
              </w:rPr>
              <w:t>Household composition</w:t>
            </w:r>
          </w:p>
        </w:tc>
        <w:tc>
          <w:tcPr>
            <w:tcW w:type="dxa" w:w="6520"/>
            <w:vAlign w:val="top"/>
          </w:tcPr>
          <w:p>
            <w:r/>
            <w:r>
              <w:rPr>
                <w:sz w:val="20"/>
              </w:rPr>
              <w:t>Household size, number of members per age band, head's NIN/sex/age/marital status/education, female-headed flag.</w:t>
            </w:r>
          </w:p>
        </w:tc>
      </w:tr>
      <w:tr>
        <w:tc>
          <w:tcPr>
            <w:tcW w:type="dxa" w:w="2551"/>
            <w:vAlign w:val="top"/>
          </w:tcPr>
          <w:p>
            <w:r/>
            <w:r>
              <w:rPr>
                <w:sz w:val="20"/>
              </w:rPr>
              <w:t>Demographics (per member)</w:t>
            </w:r>
          </w:p>
        </w:tc>
        <w:tc>
          <w:tcPr>
            <w:tcW w:type="dxa" w:w="6520"/>
            <w:vAlign w:val="top"/>
          </w:tcPr>
          <w:p>
            <w:r/>
            <w:r>
              <w:rPr>
                <w:sz w:val="20"/>
              </w:rPr>
              <w:t>NIN, name, sex, date of birth, marital status, relationship to head, tribe/ethnicity (optional), language.</w:t>
            </w:r>
          </w:p>
        </w:tc>
      </w:tr>
      <w:tr>
        <w:tc>
          <w:tcPr>
            <w:tcW w:type="dxa" w:w="2551"/>
            <w:vAlign w:val="top"/>
          </w:tcPr>
          <w:p>
            <w:r/>
            <w:r>
              <w:rPr>
                <w:sz w:val="20"/>
              </w:rPr>
              <w:t>Education (per member)</w:t>
            </w:r>
          </w:p>
        </w:tc>
        <w:tc>
          <w:tcPr>
            <w:tcW w:type="dxa" w:w="6520"/>
            <w:vAlign w:val="top"/>
          </w:tcPr>
          <w:p>
            <w:r/>
            <w:r>
              <w:rPr>
                <w:sz w:val="20"/>
              </w:rPr>
              <w:t>Highest level completed, current attendance, school type, reason for non-attendance.</w:t>
            </w:r>
          </w:p>
        </w:tc>
      </w:tr>
      <w:tr>
        <w:tc>
          <w:tcPr>
            <w:tcW w:type="dxa" w:w="2551"/>
            <w:vAlign w:val="top"/>
          </w:tcPr>
          <w:p>
            <w:r/>
            <w:r>
              <w:rPr>
                <w:sz w:val="20"/>
              </w:rPr>
              <w:t>Employment &amp; income</w:t>
            </w:r>
          </w:p>
        </w:tc>
        <w:tc>
          <w:tcPr>
            <w:tcW w:type="dxa" w:w="6520"/>
            <w:vAlign w:val="top"/>
          </w:tcPr>
          <w:p>
            <w:r/>
            <w:r>
              <w:rPr>
                <w:sz w:val="20"/>
              </w:rPr>
              <w:t>Main activity, secondary activity, employer type, monthly income proxy, food security indicators.</w:t>
            </w:r>
          </w:p>
        </w:tc>
      </w:tr>
      <w:tr>
        <w:tc>
          <w:tcPr>
            <w:tcW w:type="dxa" w:w="2551"/>
            <w:vAlign w:val="top"/>
          </w:tcPr>
          <w:p>
            <w:r/>
            <w:r>
              <w:rPr>
                <w:sz w:val="20"/>
              </w:rPr>
              <w:t>Housing</w:t>
            </w:r>
          </w:p>
        </w:tc>
        <w:tc>
          <w:tcPr>
            <w:tcW w:type="dxa" w:w="6520"/>
            <w:vAlign w:val="top"/>
          </w:tcPr>
          <w:p>
            <w:r/>
            <w:r>
              <w:rPr>
                <w:sz w:val="20"/>
              </w:rPr>
              <w:t>Tenure, dwelling type, number of rooms, roof material, wall material, floor material, water source, sanitation, energy source, cooking fuel.</w:t>
            </w:r>
          </w:p>
        </w:tc>
      </w:tr>
      <w:tr>
        <w:tc>
          <w:tcPr>
            <w:tcW w:type="dxa" w:w="2551"/>
            <w:vAlign w:val="top"/>
          </w:tcPr>
          <w:p>
            <w:r/>
            <w:r>
              <w:rPr>
                <w:sz w:val="20"/>
              </w:rPr>
              <w:t>Assets</w:t>
            </w:r>
          </w:p>
        </w:tc>
        <w:tc>
          <w:tcPr>
            <w:tcW w:type="dxa" w:w="6520"/>
            <w:vAlign w:val="top"/>
          </w:tcPr>
          <w:p>
            <w:r/>
            <w:r>
              <w:rPr>
                <w:sz w:val="20"/>
              </w:rPr>
              <w:t>Land ownership, livestock, transport, mobile phone, radio, TV, fridge, motorbike, bicycle, financial account ownership.</w:t>
            </w:r>
          </w:p>
        </w:tc>
      </w:tr>
      <w:tr>
        <w:tc>
          <w:tcPr>
            <w:tcW w:type="dxa" w:w="2551"/>
            <w:vAlign w:val="top"/>
          </w:tcPr>
          <w:p>
            <w:r/>
            <w:r>
              <w:rPr>
                <w:sz w:val="20"/>
              </w:rPr>
              <w:t>Disability</w:t>
            </w:r>
          </w:p>
        </w:tc>
        <w:tc>
          <w:tcPr>
            <w:tcW w:type="dxa" w:w="6520"/>
            <w:vAlign w:val="top"/>
          </w:tcPr>
          <w:p>
            <w:r/>
            <w:r>
              <w:rPr>
                <w:sz w:val="20"/>
              </w:rPr>
              <w:t>Washington Group Short Set, type of disability, severity, assistive devices, caregiver status.</w:t>
            </w:r>
          </w:p>
        </w:tc>
      </w:tr>
      <w:tr>
        <w:tc>
          <w:tcPr>
            <w:tcW w:type="dxa" w:w="2551"/>
            <w:vAlign w:val="top"/>
          </w:tcPr>
          <w:p>
            <w:r/>
            <w:r>
              <w:rPr>
                <w:sz w:val="20"/>
              </w:rPr>
              <w:t>Health &amp; nutrition</w:t>
            </w:r>
          </w:p>
        </w:tc>
        <w:tc>
          <w:tcPr>
            <w:tcW w:type="dxa" w:w="6520"/>
            <w:vAlign w:val="top"/>
          </w:tcPr>
          <w:p>
            <w:r/>
            <w:r>
              <w:rPr>
                <w:sz w:val="20"/>
              </w:rPr>
              <w:t>Chronic conditions flags, pregnancy status, child malnutrition flags, recent hospitalisation.</w:t>
            </w:r>
          </w:p>
        </w:tc>
      </w:tr>
      <w:tr>
        <w:tc>
          <w:tcPr>
            <w:tcW w:type="dxa" w:w="2551"/>
            <w:vAlign w:val="top"/>
          </w:tcPr>
          <w:p>
            <w:r/>
            <w:r>
              <w:rPr>
                <w:sz w:val="20"/>
              </w:rPr>
              <w:t>Shocks</w:t>
            </w:r>
          </w:p>
        </w:tc>
        <w:tc>
          <w:tcPr>
            <w:tcW w:type="dxa" w:w="6520"/>
            <w:vAlign w:val="top"/>
          </w:tcPr>
          <w:p>
            <w:r/>
            <w:r>
              <w:rPr>
                <w:sz w:val="20"/>
              </w:rPr>
              <w:t>Recent shocks (drought, flood, displacement, illness, job loss, livestock loss), coping mechanisms.</w:t>
            </w:r>
          </w:p>
        </w:tc>
      </w:tr>
      <w:tr>
        <w:tc>
          <w:tcPr>
            <w:tcW w:type="dxa" w:w="2551"/>
            <w:vAlign w:val="top"/>
          </w:tcPr>
          <w:p>
            <w:r/>
            <w:r>
              <w:rPr>
                <w:sz w:val="20"/>
              </w:rPr>
              <w:t>Programme participation (self-report)</w:t>
            </w:r>
          </w:p>
        </w:tc>
        <w:tc>
          <w:tcPr>
            <w:tcW w:type="dxa" w:w="6520"/>
            <w:vAlign w:val="top"/>
          </w:tcPr>
          <w:p>
            <w:r/>
            <w:r>
              <w:rPr>
                <w:sz w:val="20"/>
              </w:rPr>
              <w:t>Currently enrolled in any SP programme (SAGE, NUSAF, PDM, etc.) - validated against programme MIS.</w:t>
            </w:r>
          </w:p>
        </w:tc>
      </w:tr>
      <w:tr>
        <w:tc>
          <w:tcPr>
            <w:tcW w:type="dxa" w:w="2551"/>
            <w:vAlign w:val="top"/>
          </w:tcPr>
          <w:p>
            <w:r/>
            <w:r>
              <w:rPr>
                <w:sz w:val="20"/>
              </w:rPr>
              <w:t>Consent</w:t>
            </w:r>
          </w:p>
        </w:tc>
        <w:tc>
          <w:tcPr>
            <w:tcW w:type="dxa" w:w="6520"/>
            <w:vAlign w:val="top"/>
          </w:tcPr>
          <w:p>
            <w:r/>
            <w:r>
              <w:rPr>
                <w:sz w:val="20"/>
              </w:rPr>
              <w:t>Consent purpose, version, capture method, witness, timestamp.</w:t>
            </w:r>
          </w:p>
        </w:tc>
      </w:tr>
    </w:tbl>
    <w:p/>
    <w:p>
      <w:pPr>
        <w:pStyle w:val="Heading2"/>
      </w:pPr>
      <w:r>
        <w:t>4.3 Identifiers</w:t>
      </w:r>
    </w:p>
    <w:p>
      <w:pPr>
        <w:pStyle w:val="ListBullet"/>
        <w:spacing w:after="40"/>
      </w:pPr>
      <w:r>
        <w:t>Household Registry ID: server-generated, namespaced (e.g., HH-2026-000001), immutable, persistent.</w:t>
      </w:r>
    </w:p>
    <w:p>
      <w:pPr>
        <w:pStyle w:val="ListBullet"/>
        <w:spacing w:after="40"/>
      </w:pPr>
      <w:r>
        <w:t>Person Registry ID: server-generated, namespaced (P-2026-000001), persistent across household membership changes.</w:t>
      </w:r>
    </w:p>
    <w:p>
      <w:pPr>
        <w:pStyle w:val="ListBullet"/>
        <w:spacing w:after="40"/>
      </w:pPr>
      <w:r>
        <w:t>NIN: optional but preferred, validated against NIRA, encrypted at column level.</w:t>
      </w:r>
    </w:p>
    <w:p>
      <w:pPr>
        <w:pStyle w:val="ListBullet"/>
        <w:spacing w:after="40"/>
      </w:pPr>
      <w:r>
        <w:t>External IDs: harmonised programme-specific IDs (e.g., NUSAF beneficiary number) linked to the master person record.</w:t>
      </w:r>
    </w:p>
    <w:p>
      <w:pPr>
        <w:pStyle w:val="Heading1"/>
      </w:pPr>
      <w:r>
        <w:t>5. Functional requirements by module</w:t>
      </w:r>
    </w:p>
    <w:p>
      <w:pPr>
        <w:spacing w:after="120"/>
      </w:pPr>
      <w:r>
        <w:t>Functional requirements are organised by the twelve modules confirmed for the NSR MIS. Each module has a short purpose, the core capabilities, and a numbered list of functional requirements. Detailed user stories with acceptance criteria are in the companion Excel backlog (NSR_MIS_User_Story_Backlog.xlsx).</w:t>
      </w:r>
    </w:p>
    <w:p>
      <w:pPr>
        <w:pStyle w:val="Heading2"/>
      </w:pPr>
      <w:r>
        <w:t>5.1 Intake and registration</w:t>
      </w:r>
    </w:p>
    <w:p>
      <w:pPr>
        <w:spacing w:after="120"/>
      </w:pPr>
      <w:r>
        <w:t>Purpose: capture household and individual data through multiple channels, online and offline, with built-in validation and consent.</w:t>
      </w:r>
    </w:p>
    <w:p>
      <w:pPr>
        <w:pStyle w:val="ListNumber"/>
        <w:spacing w:after="40"/>
      </w:pPr>
      <w:r>
        <w:t>FR-INT-001: The MIS shall provide a CAPI Android application for offline-capable field data collection on tablets.</w:t>
      </w:r>
    </w:p>
    <w:p>
      <w:pPr>
        <w:pStyle w:val="ListNumber"/>
        <w:spacing w:after="40"/>
      </w:pPr>
      <w:r>
        <w:t>FR-INT-002: The MIS shall provide a web form mirroring the CAPI questionnaire for office-based intake.</w:t>
      </w:r>
    </w:p>
    <w:p>
      <w:pPr>
        <w:pStyle w:val="ListNumber"/>
        <w:spacing w:after="40"/>
      </w:pPr>
      <w:r>
        <w:t>FR-INT-003: The MIS shall provide a USSD short-code pre-registration channel with assisted follow-up by a CDO.</w:t>
      </w:r>
    </w:p>
    <w:p>
      <w:pPr>
        <w:pStyle w:val="ListNumber"/>
        <w:spacing w:after="40"/>
      </w:pPr>
      <w:r>
        <w:t>FR-INT-004: The intake form shall be versioned; submissions retain the form version that produced them.</w:t>
      </w:r>
    </w:p>
    <w:p>
      <w:pPr>
        <w:pStyle w:val="ListNumber"/>
        <w:spacing w:after="40"/>
      </w:pPr>
      <w:r>
        <w:t>FR-INT-005: The MIS shall enforce required fields, format masks (dates, NIN), and skip logic at the point of entry.</w:t>
      </w:r>
    </w:p>
    <w:p>
      <w:pPr>
        <w:pStyle w:val="ListNumber"/>
        <w:spacing w:after="40"/>
      </w:pPr>
      <w:r>
        <w:t>FR-INT-006: The MIS shall capture GPS coordinates with each household record.</w:t>
      </w:r>
    </w:p>
    <w:p>
      <w:pPr>
        <w:pStyle w:val="ListNumber"/>
        <w:spacing w:after="40"/>
      </w:pPr>
      <w:r>
        <w:t>FR-INT-007: The MIS shall capture informed consent (purpose, version, capture method, witness, timestamp) before any personal data entry.</w:t>
      </w:r>
    </w:p>
    <w:p>
      <w:pPr>
        <w:pStyle w:val="ListNumber"/>
        <w:spacing w:after="40"/>
      </w:pPr>
      <w:r>
        <w:t>FR-INT-008: The MIS shall accept bulk import of CSV/JSON datasets from UBOS mass-enumeration campaigns, validate against the published schema, and log per-record outcomes.</w:t>
      </w:r>
    </w:p>
    <w:p>
      <w:pPr>
        <w:pStyle w:val="ListNumber"/>
        <w:spacing w:after="40"/>
      </w:pPr>
      <w:r>
        <w:t>FR-INT-009: The MIS shall provide a Form Designer for administrators to add, edit, and version questions and choice lists without code changes.</w:t>
      </w:r>
    </w:p>
    <w:p>
      <w:pPr>
        <w:pStyle w:val="ListNumber"/>
        <w:spacing w:after="40"/>
      </w:pPr>
      <w:r>
        <w:t>FR-INT-010: The MIS shall support multi-language form rendering (English, Kiswahili, plus space for local languages).</w:t>
      </w:r>
    </w:p>
    <w:p>
      <w:pPr>
        <w:pStyle w:val="ListNumber"/>
        <w:spacing w:after="40"/>
      </w:pPr>
      <w:r>
        <w:t>FR-INT-011: The MIS shall geographic-scope intake permissions (a Parish Chief can only register in their parish).</w:t>
      </w:r>
    </w:p>
    <w:p>
      <w:pPr>
        <w:pStyle w:val="ListNumber"/>
        <w:spacing w:after="40"/>
      </w:pPr>
      <w:r>
        <w:t>FR-INT-012: On submission, the MIS shall generate a unique Registry ID for the household and each member.</w:t>
      </w:r>
    </w:p>
    <w:p>
      <w:pPr>
        <w:pStyle w:val="ListNumber"/>
        <w:spacing w:after="40"/>
      </w:pPr>
      <w:r>
        <w:t>FR-INT-013: The CAPI app shall encrypt the local data store at rest and sync to the central server when connectivity is available.</w:t>
      </w:r>
    </w:p>
    <w:p>
      <w:pPr>
        <w:pStyle w:val="Heading2"/>
      </w:pPr>
      <w:r>
        <w:t>5.2 Household and individual data management</w:t>
      </w:r>
    </w:p>
    <w:p>
      <w:pPr>
        <w:spacing w:after="120"/>
      </w:pPr>
      <w:r>
        <w:t>Purpose: maintain authoritative, versioned, deduplicated records for households and individuals.</w:t>
      </w:r>
    </w:p>
    <w:p>
      <w:pPr>
        <w:pStyle w:val="ListNumber"/>
        <w:spacing w:after="40"/>
      </w:pPr>
      <w:r>
        <w:t>FR-DM-001: The MIS shall persist a single 'golden record' per individual using Master Data Management.</w:t>
      </w:r>
    </w:p>
    <w:p>
      <w:pPr>
        <w:pStyle w:val="ListNumber"/>
        <w:spacing w:after="40"/>
      </w:pPr>
      <w:r>
        <w:t>FR-DM-002: The MIS shall keep an immutable history of all changes per field with timestamps and source.</w:t>
      </w:r>
    </w:p>
    <w:p>
      <w:pPr>
        <w:pStyle w:val="ListNumber"/>
        <w:spacing w:after="40"/>
      </w:pPr>
      <w:r>
        <w:t>FR-DM-003: The MIS shall support household composition changes (add/remove member, split, merge) with effective dates.</w:t>
      </w:r>
    </w:p>
    <w:p>
      <w:pPr>
        <w:pStyle w:val="ListNumber"/>
        <w:spacing w:after="40"/>
      </w:pPr>
      <w:r>
        <w:t>FR-DM-004: The MIS shall trigger PMT recalculation automatically on composition or key-variable changes.</w:t>
      </w:r>
    </w:p>
    <w:p>
      <w:pPr>
        <w:pStyle w:val="ListNumber"/>
        <w:spacing w:after="40"/>
      </w:pPr>
      <w:r>
        <w:t>FR-DM-005: The MIS shall enforce the UBOS geographic master list on every location field.</w:t>
      </w:r>
    </w:p>
    <w:p>
      <w:pPr>
        <w:pStyle w:val="ListNumber"/>
        <w:spacing w:after="40"/>
      </w:pPr>
      <w:r>
        <w:t>FR-DM-006: The MIS shall mark each field as mandatory, optional, or restricted, and enforce data-minimisation rules.</w:t>
      </w:r>
    </w:p>
    <w:p>
      <w:pPr>
        <w:pStyle w:val="ListNumber"/>
        <w:spacing w:after="40"/>
      </w:pPr>
      <w:r>
        <w:t>FR-DM-007: The MIS shall provide a record search by Registry ID, NIN, name, phone, or geographic codes.</w:t>
      </w:r>
    </w:p>
    <w:p>
      <w:pPr>
        <w:pStyle w:val="ListNumber"/>
        <w:spacing w:after="40"/>
      </w:pPr>
      <w:r>
        <w:t>FR-DM-008: The MIS shall provide a household profile view consolidating demographics, PMT, programme participation, grievances, and updates.</w:t>
      </w:r>
    </w:p>
    <w:p>
      <w:pPr>
        <w:pStyle w:val="Heading2"/>
      </w:pPr>
      <w:r>
        <w:t>5.3 Identity verification (NIRA)</w:t>
      </w:r>
    </w:p>
    <w:p>
      <w:pPr>
        <w:pStyle w:val="ListNumber"/>
        <w:spacing w:after="40"/>
      </w:pPr>
      <w:r>
        <w:t>FR-ID-001: The MIS shall validate every captured NIN against NIRA via API.</w:t>
      </w:r>
    </w:p>
    <w:p>
      <w:pPr>
        <w:pStyle w:val="ListNumber"/>
        <w:spacing w:after="40"/>
      </w:pPr>
      <w:r>
        <w:t>FR-ID-002: The MIS shall support both real-time (synchronous, during intake) and asynchronous batch validation modes.</w:t>
      </w:r>
    </w:p>
    <w:p>
      <w:pPr>
        <w:pStyle w:val="ListNumber"/>
        <w:spacing w:after="40"/>
      </w:pPr>
      <w:r>
        <w:t>FR-ID-003: The MIS shall route NIN exceptions (mismatch on name, DOB, sex, or status) to a dedicated case queue with documented resolution paths.</w:t>
      </w:r>
    </w:p>
    <w:p>
      <w:pPr>
        <w:pStyle w:val="ListNumber"/>
        <w:spacing w:after="40"/>
      </w:pPr>
      <w:r>
        <w:t>FR-ID-004: The MIS shall subscribe to NIRA deaths feed (or daily delta poll) and deactivate matched member records with effective date.</w:t>
      </w:r>
    </w:p>
    <w:p>
      <w:pPr>
        <w:pStyle w:val="ListNumber"/>
        <w:spacing w:after="40"/>
      </w:pPr>
      <w:r>
        <w:t>FR-ID-005: The MIS shall allow registration of members without NIN with a provisional ID and a NIRA enrolment referral.</w:t>
      </w:r>
    </w:p>
    <w:p>
      <w:pPr>
        <w:pStyle w:val="ListNumber"/>
        <w:spacing w:after="40"/>
      </w:pPr>
      <w:r>
        <w:t>FR-ID-006: The MIS shall replace a provisional ID with a NIRA-issued NIN once received, preserving full history.</w:t>
      </w:r>
    </w:p>
    <w:p>
      <w:pPr>
        <w:pStyle w:val="ListNumber"/>
        <w:spacing w:after="40"/>
      </w:pPr>
      <w:r>
        <w:t>FR-ID-007: The MIS shall log every NIRA API call (request, response, latency, outcome) for audit and capacity planning.</w:t>
      </w:r>
    </w:p>
    <w:p>
      <w:pPr>
        <w:pStyle w:val="Heading2"/>
      </w:pPr>
      <w:r>
        <w:t>5.4 PMT and eligibility assessment</w:t>
      </w:r>
    </w:p>
    <w:p>
      <w:pPr>
        <w:pStyle w:val="ListNumber"/>
        <w:spacing w:after="40"/>
      </w:pPr>
      <w:r>
        <w:t>FR-ELG-001: The MIS shall implement a configurable PMT formula expressed as variables, weights, and intercept.</w:t>
      </w:r>
    </w:p>
    <w:p>
      <w:pPr>
        <w:pStyle w:val="ListNumber"/>
        <w:spacing w:after="40"/>
      </w:pPr>
      <w:r>
        <w:t>FR-ELG-002: The PMT model shall be versioned and dated; scores shall be tied to the model version that produced them.</w:t>
      </w:r>
    </w:p>
    <w:p>
      <w:pPr>
        <w:pStyle w:val="ListNumber"/>
        <w:spacing w:after="40"/>
      </w:pPr>
      <w:r>
        <w:t>FR-ELG-003: The MIS shall recompute PMT and band on each material change.</w:t>
      </w:r>
    </w:p>
    <w:p>
      <w:pPr>
        <w:pStyle w:val="ListNumber"/>
        <w:spacing w:after="40"/>
      </w:pPr>
      <w:r>
        <w:t>FR-ELG-004: The MIS shall expose an eligibility simulator allowing multi-criteria filters (PMT band, demographics, geography, disability, OVC, gender of head).</w:t>
      </w:r>
    </w:p>
    <w:p>
      <w:pPr>
        <w:pStyle w:val="ListNumber"/>
        <w:spacing w:after="40"/>
      </w:pPr>
      <w:r>
        <w:t>FR-ELG-005: The MIS shall produce ranked outreach lists by sub-county, district, or programme criteria.</w:t>
      </w:r>
    </w:p>
    <w:p>
      <w:pPr>
        <w:pStyle w:val="ListNumber"/>
        <w:spacing w:after="40"/>
      </w:pPr>
      <w:r>
        <w:t>FR-ELG-006: The MIS shall record activation of a new PMT model via an approval workflow with two-person rule.</w:t>
      </w:r>
    </w:p>
    <w:p>
      <w:pPr>
        <w:pStyle w:val="ListNumber"/>
        <w:spacing w:after="40"/>
      </w:pPr>
      <w:r>
        <w:t>FR-ELG-007: The MIS shall track inclusion and exclusion error indicators over time.</w:t>
      </w:r>
    </w:p>
    <w:p>
      <w:pPr>
        <w:pStyle w:val="Heading2"/>
      </w:pPr>
      <w:r>
        <w:t>5.5 Dynamic updates and recertification</w:t>
      </w:r>
    </w:p>
    <w:p>
      <w:pPr>
        <w:pStyle w:val="ListNumber"/>
        <w:spacing w:after="40"/>
      </w:pPr>
      <w:r>
        <w:t>FR-UPD-001: The MIS shall accept updates from registrants (web, mobile, in-person at parish, USSD).</w:t>
      </w:r>
    </w:p>
    <w:p>
      <w:pPr>
        <w:pStyle w:val="ListNumber"/>
        <w:spacing w:after="40"/>
      </w:pPr>
      <w:r>
        <w:t>FR-UPD-002: The MIS shall accept updates from external systems (programme MISs, NIRA, etc.) via API.</w:t>
      </w:r>
    </w:p>
    <w:p>
      <w:pPr>
        <w:pStyle w:val="ListNumber"/>
        <w:spacing w:after="40"/>
      </w:pPr>
      <w:r>
        <w:t>FR-UPD-003: The MIS shall route updates through a verification workflow proportional to the change risk (light for phone change, full re-verification for income change).</w:t>
      </w:r>
    </w:p>
    <w:p>
      <w:pPr>
        <w:pStyle w:val="ListNumber"/>
        <w:spacing w:after="40"/>
      </w:pPr>
      <w:r>
        <w:t>FR-UPD-004: The MIS shall trigger eligibility reassessment on completion of an update.</w:t>
      </w:r>
    </w:p>
    <w:p>
      <w:pPr>
        <w:pStyle w:val="ListNumber"/>
        <w:spacing w:after="40"/>
      </w:pPr>
      <w:r>
        <w:t>FR-UPD-005: The MIS shall support recertification schedules per band (e.g., 3 years for poor, 5 years for non-poor).</w:t>
      </w:r>
    </w:p>
    <w:p>
      <w:pPr>
        <w:pStyle w:val="ListNumber"/>
        <w:spacing w:after="40"/>
      </w:pPr>
      <w:r>
        <w:t>FR-UPD-006: The MIS shall tag stale records and exclude them from new programme targeting until recertified.</w:t>
      </w:r>
    </w:p>
    <w:p>
      <w:pPr>
        <w:pStyle w:val="ListNumber"/>
        <w:spacing w:after="40"/>
      </w:pPr>
      <w:r>
        <w:t>FR-UPD-007: The MIS shall support event-driven mass reassessment for a shock zone defined by polygon or administrative codes.</w:t>
      </w:r>
    </w:p>
    <w:p>
      <w:pPr>
        <w:pStyle w:val="ListNumber"/>
        <w:spacing w:after="40"/>
      </w:pPr>
      <w:r>
        <w:t>FR-UPD-008: The MIS shall queue and resolve update conflicts with audit trail.</w:t>
      </w:r>
    </w:p>
    <w:p>
      <w:pPr>
        <w:pStyle w:val="Heading2"/>
      </w:pPr>
      <w:r>
        <w:t>5.6 Grievance and correction requests</w:t>
      </w:r>
    </w:p>
    <w:p>
      <w:pPr>
        <w:pStyle w:val="ListNumber"/>
        <w:spacing w:after="40"/>
      </w:pPr>
      <w:r>
        <w:t>FR-GRV-001: The MIS shall accept grievances via toll-free line, SMS short code, web portal, mobile app, and in-person (logged by Parish Chief).</w:t>
      </w:r>
    </w:p>
    <w:p>
      <w:pPr>
        <w:pStyle w:val="ListNumber"/>
        <w:spacing w:after="40"/>
      </w:pPr>
      <w:r>
        <w:t>FR-GRV-002: Each grievance shall receive a unique Case ID and an acknowledgement within 24 hours via the channel used.</w:t>
      </w:r>
    </w:p>
    <w:p>
      <w:pPr>
        <w:pStyle w:val="ListNumber"/>
        <w:spacing w:after="40"/>
      </w:pPr>
      <w:r>
        <w:t>FR-GRV-003: The MIS shall implement a tiered workflow: L1 community/parish, L2 sub-county/district appeals committee, L3 national Cases &amp; Updates Officer.</w:t>
      </w:r>
    </w:p>
    <w:p>
      <w:pPr>
        <w:pStyle w:val="ListNumber"/>
        <w:spacing w:after="40"/>
      </w:pPr>
      <w:r>
        <w:t>FR-GRV-004: The MIS shall auto-escalate cases when SLA expires.</w:t>
      </w:r>
    </w:p>
    <w:p>
      <w:pPr>
        <w:pStyle w:val="ListNumber"/>
        <w:spacing w:after="40"/>
      </w:pPr>
      <w:r>
        <w:t>FR-GRV-005: Grievances may include a data-correction request; approved corrections shall update the master record with full audit.</w:t>
      </w:r>
    </w:p>
    <w:p>
      <w:pPr>
        <w:pStyle w:val="ListNumber"/>
        <w:spacing w:after="40"/>
      </w:pPr>
      <w:r>
        <w:t>FR-GRV-006: The MIS shall ingest programme-MIS grievance summaries via API and display them as read-only with deep links to the source system.</w:t>
      </w:r>
    </w:p>
    <w:p>
      <w:pPr>
        <w:pStyle w:val="ListNumber"/>
        <w:spacing w:after="40"/>
      </w:pPr>
      <w:r>
        <w:t>FR-GRV-007: The MIS shall produce GRM dashboards with SLA, throughput, and outcome indicators.</w:t>
      </w:r>
    </w:p>
    <w:p>
      <w:pPr>
        <w:pStyle w:val="Heading2"/>
      </w:pPr>
      <w:r>
        <w:t>5.7 Programme referral and enrolment interface</w:t>
      </w:r>
    </w:p>
    <w:p>
      <w:pPr>
        <w:pStyle w:val="ListNumber"/>
        <w:spacing w:after="40"/>
      </w:pPr>
      <w:r>
        <w:t>FR-PRG-001: The MIS shall expose a candidate-list API allowing programmes to query by harmonised criteria (PMT band, age, disability, geography, etc.).</w:t>
      </w:r>
    </w:p>
    <w:p>
      <w:pPr>
        <w:pStyle w:val="ListNumber"/>
        <w:spacing w:after="40"/>
      </w:pPr>
      <w:r>
        <w:t>FR-PRG-002: Each candidate-list pull shall be recorded as a data-sharing event with purpose, requester, DSA, and consent reference.</w:t>
      </w:r>
    </w:p>
    <w:p>
      <w:pPr>
        <w:pStyle w:val="ListNumber"/>
        <w:spacing w:after="40"/>
      </w:pPr>
      <w:r>
        <w:t>FR-PRG-003: The MIS shall accept inbound enrolment, suspension, reactivation, and exit events from programme MISs.</w:t>
      </w:r>
    </w:p>
    <w:p>
      <w:pPr>
        <w:pStyle w:val="ListNumber"/>
        <w:spacing w:after="40"/>
      </w:pPr>
      <w:r>
        <w:t>FR-PRG-004: The MIS shall implement configurable conflict rules (e.g., block enrolment if already in a conflicting programme).</w:t>
      </w:r>
    </w:p>
    <w:p>
      <w:pPr>
        <w:pStyle w:val="ListNumber"/>
        <w:spacing w:after="40"/>
      </w:pPr>
      <w:r>
        <w:t>FR-PRG-005: The MIS shall provide a unified view of current and historical programme participation per household.</w:t>
      </w:r>
    </w:p>
    <w:p>
      <w:pPr>
        <w:pStyle w:val="ListNumber"/>
        <w:spacing w:after="40"/>
      </w:pPr>
      <w:r>
        <w:t>FR-PRG-006: The MIS shall support inter-programme referrals with status tracking (sent, received, accepted, enrolled, declined).</w:t>
      </w:r>
    </w:p>
    <w:p>
      <w:pPr>
        <w:pStyle w:val="Heading2"/>
      </w:pPr>
      <w:r>
        <w:t>5.8 Interoperability and API gateway</w:t>
      </w:r>
    </w:p>
    <w:p>
      <w:pPr>
        <w:pStyle w:val="ListNumber"/>
        <w:spacing w:after="40"/>
      </w:pPr>
      <w:r>
        <w:t>FR-API-001: The MIS shall expose a versioned REST API gateway with an OpenAPI 3.0 contract.</w:t>
      </w:r>
    </w:p>
    <w:p>
      <w:pPr>
        <w:pStyle w:val="ListNumber"/>
        <w:spacing w:after="40"/>
      </w:pPr>
      <w:r>
        <w:t>FR-API-002: The gateway shall authenticate consumers via OAuth 2.0 client credentials and mutual TLS for sensitive consumers.</w:t>
      </w:r>
    </w:p>
    <w:p>
      <w:pPr>
        <w:pStyle w:val="ListNumber"/>
        <w:spacing w:after="40"/>
      </w:pPr>
      <w:r>
        <w:t>FR-API-003: The gateway shall enforce per-consumer scopes, rate limits, and quotas.</w:t>
      </w:r>
    </w:p>
    <w:p>
      <w:pPr>
        <w:pStyle w:val="ListNumber"/>
        <w:spacing w:after="40"/>
      </w:pPr>
      <w:r>
        <w:t>FR-API-004: The gateway shall publish webhooks per event type with signed payloads, retry, and dead-letter queues.</w:t>
      </w:r>
    </w:p>
    <w:p>
      <w:pPr>
        <w:pStyle w:val="ListNumber"/>
        <w:spacing w:after="40"/>
      </w:pPr>
      <w:r>
        <w:t>FR-API-005: The MIS shall expose aggregated GeoJSON/MVT endpoints to GIS consumers (no PII).</w:t>
      </w:r>
    </w:p>
    <w:p>
      <w:pPr>
        <w:pStyle w:val="ListNumber"/>
        <w:spacing w:after="40"/>
      </w:pPr>
      <w:r>
        <w:t>FR-API-006: The MIS shall implement connectors for NIRA, UBOS, NSSF, MoH (DHIS2/HMIS), MoES (EMIS), OPM, and MAAIF, each with documented contract, error handling, and reconciliation.</w:t>
      </w:r>
    </w:p>
    <w:p>
      <w:pPr>
        <w:pStyle w:val="ListNumber"/>
        <w:spacing w:after="40"/>
      </w:pPr>
      <w:r>
        <w:t>FR-API-007: The gateway shall publish health, metrics, and per-consumer dashboards.</w:t>
      </w:r>
    </w:p>
    <w:p>
      <w:pPr>
        <w:pStyle w:val="ListNumber"/>
        <w:spacing w:after="40"/>
      </w:pPr>
      <w:r>
        <w:t>FR-API-008: Until the NITA-U e-service bus is available, the MIS shall act as the integration middleware for partner systems.</w:t>
      </w:r>
    </w:p>
    <w:p>
      <w:pPr>
        <w:pStyle w:val="Heading2"/>
      </w:pPr>
      <w:r>
        <w:t>5.9 Reporting and analytics</w:t>
      </w:r>
    </w:p>
    <w:p>
      <w:pPr>
        <w:pStyle w:val="ListNumber"/>
        <w:spacing w:after="40"/>
      </w:pPr>
      <w:r>
        <w:t>FR-REP-001: The MIS shall provide role-based dashboards for executives, programme managers, M&amp;E officers, and analysts.</w:t>
      </w:r>
    </w:p>
    <w:p>
      <w:pPr>
        <w:pStyle w:val="ListNumber"/>
        <w:spacing w:after="40"/>
      </w:pPr>
      <w:r>
        <w:t>FR-REP-002: The MIS shall provide a public dashboard with anonymised indicators and small-cell suppression.</w:t>
      </w:r>
    </w:p>
    <w:p>
      <w:pPr>
        <w:pStyle w:val="ListNumber"/>
        <w:spacing w:after="40"/>
      </w:pPr>
      <w:r>
        <w:t>FR-REP-003: The MIS shall support templated reports (weekly, bi-weekly, monthly) and ad-hoc queries.</w:t>
      </w:r>
    </w:p>
    <w:p>
      <w:pPr>
        <w:pStyle w:val="ListNumber"/>
        <w:spacing w:after="40"/>
      </w:pPr>
      <w:r>
        <w:t>FR-REP-004: Reports shall be exportable as PDF, DOCX, XLSX, and CSV.</w:t>
      </w:r>
    </w:p>
    <w:p>
      <w:pPr>
        <w:pStyle w:val="ListNumber"/>
        <w:spacing w:after="40"/>
      </w:pPr>
      <w:r>
        <w:t>FR-REP-005: The MIS shall expose a curated, pseudonymised warehouse view for analysts with query audit.</w:t>
      </w:r>
    </w:p>
    <w:p>
      <w:pPr>
        <w:pStyle w:val="ListNumber"/>
        <w:spacing w:after="40"/>
      </w:pPr>
      <w:r>
        <w:t>FR-REP-006: The MIS shall provide GIS layers for coverage, PMT bands, and shock-zone overlays.</w:t>
      </w:r>
    </w:p>
    <w:p>
      <w:pPr>
        <w:pStyle w:val="ListNumber"/>
        <w:spacing w:after="40"/>
      </w:pPr>
      <w:r>
        <w:t>FR-REP-007: The MIS shall support shock-response analytics with rapid vulnerability lists by geography.</w:t>
      </w:r>
    </w:p>
    <w:p>
      <w:pPr>
        <w:pStyle w:val="Heading2"/>
      </w:pPr>
      <w:r>
        <w:t>5.10 Data requests and sharing management</w:t>
      </w:r>
    </w:p>
    <w:p>
      <w:pPr>
        <w:pStyle w:val="ListNumber"/>
        <w:spacing w:after="40"/>
      </w:pPr>
      <w:r>
        <w:t>FR-DSM-001: The MIS shall provide an external requester portal to submit data requests (purpose, legal basis, elements, time window, geography, format, DSA reference).</w:t>
      </w:r>
    </w:p>
    <w:p>
      <w:pPr>
        <w:pStyle w:val="ListNumber"/>
        <w:spacing w:after="40"/>
      </w:pPr>
      <w:r>
        <w:t>FR-DSM-002: Requests shall be routed through technical, legal, and Director-level approvals.</w:t>
      </w:r>
    </w:p>
    <w:p>
      <w:pPr>
        <w:pStyle w:val="ListNumber"/>
        <w:spacing w:after="40"/>
      </w:pPr>
      <w:r>
        <w:t>FR-DSM-003: The MIS shall encode the data-sharing agreement as fields + filters + cadence + retention, and enforce it on every extract.</w:t>
      </w:r>
    </w:p>
    <w:p>
      <w:pPr>
        <w:pStyle w:val="ListNumber"/>
        <w:spacing w:after="40"/>
      </w:pPr>
      <w:r>
        <w:t>FR-DSM-004: The MIS shall offer configurable anonymisation/pseudonymisation (hash NIN, drop names, generalise DOB to age bands, generalise location to sub-county).</w:t>
      </w:r>
    </w:p>
    <w:p>
      <w:pPr>
        <w:pStyle w:val="ListNumber"/>
        <w:spacing w:after="40"/>
      </w:pPr>
      <w:r>
        <w:t>FR-DSM-005: Each extract shall carry a unique ID, manifest, hash, and DSA reference, and capture recipient acknowledgement.</w:t>
      </w:r>
    </w:p>
    <w:p>
      <w:pPr>
        <w:pStyle w:val="ListNumber"/>
        <w:spacing w:after="40"/>
      </w:pPr>
      <w:r>
        <w:t>FR-DSM-006: The MIS shall manage retention and destruction deadlines per DSA, with reminders to the recipient.</w:t>
      </w:r>
    </w:p>
    <w:p>
      <w:pPr>
        <w:pStyle w:val="ListNumber"/>
        <w:spacing w:after="40"/>
      </w:pPr>
      <w:r>
        <w:t>FR-DSM-007: The MIS shall provide a read-only auditor view for compliance reviews.</w:t>
      </w:r>
    </w:p>
    <w:p>
      <w:pPr>
        <w:pStyle w:val="Heading2"/>
      </w:pPr>
      <w:r>
        <w:t>5.11 Single Registry and beneficiary management via programme MIS data exchange</w:t>
      </w:r>
    </w:p>
    <w:p>
      <w:pPr>
        <w:pStyle w:val="ListNumber"/>
        <w:spacing w:after="40"/>
      </w:pPr>
      <w:r>
        <w:t>FR-SR-001: The MIS shall accept harmonised events from programme MISs (application, eligibility, enrolment, payment, complaint, exit) per the TOR data dictionary.</w:t>
      </w:r>
    </w:p>
    <w:p>
      <w:pPr>
        <w:pStyle w:val="ListNumber"/>
        <w:spacing w:after="40"/>
      </w:pPr>
      <w:r>
        <w:t>FR-SR-002: The MIS shall maintain a per-household dossier showing current and historical programme participation.</w:t>
      </w:r>
    </w:p>
    <w:p>
      <w:pPr>
        <w:pStyle w:val="ListNumber"/>
        <w:spacing w:after="40"/>
      </w:pPr>
      <w:r>
        <w:t>FR-SR-003: The MIS shall display payment metadata (amount, frequency, expected/actual transfer dates, status, PSP, proxy) without executing payments.</w:t>
      </w:r>
    </w:p>
    <w:p>
      <w:pPr>
        <w:pStyle w:val="ListNumber"/>
        <w:spacing w:after="40"/>
      </w:pPr>
      <w:r>
        <w:t>FR-SR-004: The MIS shall publish subscribable update events back to programme MISs.</w:t>
      </w:r>
    </w:p>
    <w:p>
      <w:pPr>
        <w:pStyle w:val="ListNumber"/>
        <w:spacing w:after="40"/>
      </w:pPr>
      <w:r>
        <w:t>FR-SR-005: The MIS shall enforce harmonised taxonomies for status, exit reasons, and grievance categories.</w:t>
      </w:r>
    </w:p>
    <w:p>
      <w:pPr>
        <w:pStyle w:val="ListNumber"/>
        <w:spacing w:after="40"/>
      </w:pPr>
      <w:r>
        <w:t>FR-SR-006: The MIS shall provide cross-programme indicators (overlap rate, gap rate, coverage by district).</w:t>
      </w:r>
    </w:p>
    <w:p>
      <w:pPr>
        <w:pStyle w:val="Heading2"/>
      </w:pPr>
      <w:r>
        <w:t>5.12 User, role, consent, and audit management</w:t>
      </w:r>
    </w:p>
    <w:p>
      <w:pPr>
        <w:pStyle w:val="ListNumber"/>
        <w:spacing w:after="40"/>
      </w:pPr>
      <w:r>
        <w:t>FR-ADM-001: The MIS shall manage users centrally with role-based access control (RBAC) and geographic scope.</w:t>
      </w:r>
    </w:p>
    <w:p>
      <w:pPr>
        <w:pStyle w:val="ListNumber"/>
        <w:spacing w:after="40"/>
      </w:pPr>
      <w:r>
        <w:t>FR-ADM-002: The MIS shall implement the TOR permission set: Data View, Data Entry, Data Modifier, Data Deletion, Data Approval, Data Export, Data Download, Data Upload.</w:t>
      </w:r>
    </w:p>
    <w:p>
      <w:pPr>
        <w:pStyle w:val="ListNumber"/>
        <w:spacing w:after="40"/>
      </w:pPr>
      <w:r>
        <w:t>FR-ADM-003: The MIS shall enforce segregation of duties (a user cannot approve a record they created).</w:t>
      </w:r>
    </w:p>
    <w:p>
      <w:pPr>
        <w:pStyle w:val="ListNumber"/>
        <w:spacing w:after="40"/>
      </w:pPr>
      <w:r>
        <w:t>FR-ADM-004: The MIS shall enforce account hygiene: 3-month password rotation, lockout after 3 failed logins, account disable after 60 days inactivity, CAPTCHA on login, MFA for privileged roles.</w:t>
      </w:r>
    </w:p>
    <w:p>
      <w:pPr>
        <w:pStyle w:val="ListNumber"/>
        <w:spacing w:after="40"/>
      </w:pPr>
      <w:r>
        <w:t>FR-ADM-005: The MIS shall provide a citizen-facing consent dashboard with granular per-purpose controls and withdrawal workflow.</w:t>
      </w:r>
    </w:p>
    <w:p>
      <w:pPr>
        <w:pStyle w:val="ListNumber"/>
        <w:spacing w:after="40"/>
      </w:pPr>
      <w:r>
        <w:t>FR-ADM-006: The MIS shall maintain an immutable, tamper-evident audit log of every login, insert, update, delete, approval, export, and admin action.</w:t>
      </w:r>
    </w:p>
    <w:p>
      <w:pPr>
        <w:pStyle w:val="ListNumber"/>
        <w:spacing w:after="40"/>
      </w:pPr>
      <w:r>
        <w:t>FR-ADM-007: The MIS shall integrate with a SIEM (NITA-U SOC where applicable) and publish security alerts.</w:t>
      </w:r>
    </w:p>
    <w:p>
      <w:pPr>
        <w:pStyle w:val="ListNumber"/>
        <w:spacing w:after="40"/>
      </w:pPr>
      <w:r>
        <w:t>FR-ADM-008: The MIS shall implement configurable data retention and disposition with right-to-be-forgotten workflows.</w:t>
      </w:r>
    </w:p>
    <w:p>
      <w:pPr>
        <w:pStyle w:val="Heading1"/>
      </w:pPr>
      <w:r>
        <w:t>6. Non-functional requirements</w:t>
      </w:r>
    </w:p>
    <w:p>
      <w:pPr>
        <w:pStyle w:val="Heading2"/>
      </w:pPr>
      <w:r>
        <w:t>6.1 Performance and scalability</w:t>
      </w:r>
    </w:p>
    <w:p>
      <w:pPr>
        <w:pStyle w:val="ListNumber"/>
        <w:spacing w:after="40"/>
      </w:pPr>
      <w:r>
        <w:t>NFR-PERF-001: Capacity for approximately 3 million households and 15 million individuals.</w:t>
      </w:r>
    </w:p>
    <w:p>
      <w:pPr>
        <w:pStyle w:val="ListNumber"/>
        <w:spacing w:after="40"/>
      </w:pPr>
      <w:r>
        <w:t>NFR-PERF-002: 700 concurrent government users daily, 400 average concurrent; public peak up to 600,000 users/day.</w:t>
      </w:r>
    </w:p>
    <w:p>
      <w:pPr>
        <w:pStyle w:val="ListNumber"/>
        <w:spacing w:after="40"/>
      </w:pPr>
      <w:r>
        <w:t>NFR-PERF-003: Average page response below 1 second; maximum 15 seconds.</w:t>
      </w:r>
    </w:p>
    <w:p>
      <w:pPr>
        <w:pStyle w:val="ListNumber"/>
        <w:spacing w:after="40"/>
      </w:pPr>
      <w:r>
        <w:t>NFR-PERF-004: Bulk load/download of 1 million records in 60 seconds or less.</w:t>
      </w:r>
    </w:p>
    <w:p>
      <w:pPr>
        <w:pStyle w:val="ListNumber"/>
        <w:spacing w:after="40"/>
      </w:pPr>
      <w:r>
        <w:t>NFR-PERF-005: CAPI synchronisation works under 2G-capable bandwidths via compression, async ops, and robust error handling.</w:t>
      </w:r>
    </w:p>
    <w:p>
      <w:pPr>
        <w:pStyle w:val="Heading2"/>
      </w:pPr>
      <w:r>
        <w:t>6.2 Availability and reliability</w:t>
      </w:r>
    </w:p>
    <w:p>
      <w:pPr>
        <w:pStyle w:val="ListNumber"/>
        <w:spacing w:after="40"/>
      </w:pPr>
      <w:r>
        <w:t>NFR-AV-001: Target 24x7 operation; critical hours 08:00-17:00 Monday-Friday.</w:t>
      </w:r>
    </w:p>
    <w:p>
      <w:pPr>
        <w:pStyle w:val="ListNumber"/>
        <w:spacing w:after="40"/>
      </w:pPr>
      <w:r>
        <w:t>NFR-AV-002: Mean Down Time at most 24 hours; Mean Time To Repair at most 3 hours.</w:t>
      </w:r>
    </w:p>
    <w:p>
      <w:pPr>
        <w:pStyle w:val="ListNumber"/>
        <w:spacing w:after="40"/>
      </w:pPr>
      <w:r>
        <w:t>NFR-AV-003: Planned downtime announced at least 72 hours in advance; unplanned downtime notification within 1 hour.</w:t>
      </w:r>
    </w:p>
    <w:p>
      <w:pPr>
        <w:pStyle w:val="ListNumber"/>
        <w:spacing w:after="40"/>
      </w:pPr>
      <w:r>
        <w:t>NFR-AV-004: RPO at most 1 hour, RTO at most 3 hours.</w:t>
      </w:r>
    </w:p>
    <w:p>
      <w:pPr>
        <w:pStyle w:val="Heading2"/>
      </w:pPr>
      <w:r>
        <w:t>6.3 Security</w:t>
      </w:r>
    </w:p>
    <w:p>
      <w:pPr>
        <w:pStyle w:val="ListNumber"/>
        <w:spacing w:after="40"/>
      </w:pPr>
      <w:r>
        <w:t>NFR-SEC-001: TLS 1.2+ with at least 128-bit ciphers on all sessions and APIs.</w:t>
      </w:r>
    </w:p>
    <w:p>
      <w:pPr>
        <w:pStyle w:val="ListNumber"/>
        <w:spacing w:after="40"/>
      </w:pPr>
      <w:r>
        <w:t>NFR-SEC-002: NIN and password fields encrypted at column level using KMS-backed keys with rotation.</w:t>
      </w:r>
    </w:p>
    <w:p>
      <w:pPr>
        <w:pStyle w:val="ListNumber"/>
        <w:spacing w:after="40"/>
      </w:pPr>
      <w:r>
        <w:t>NFR-SEC-003: Annual penetration tests and continuous vulnerability scanning.</w:t>
      </w:r>
    </w:p>
    <w:p>
      <w:pPr>
        <w:pStyle w:val="ListNumber"/>
        <w:spacing w:after="40"/>
      </w:pPr>
      <w:r>
        <w:t>NFR-SEC-004: Compliance with the 2019 Data Protection and Privacy Act; mandatory NDAs for all system users; consent capture and withdrawal.</w:t>
      </w:r>
    </w:p>
    <w:p>
      <w:pPr>
        <w:pStyle w:val="ListNumber"/>
        <w:spacing w:after="40"/>
      </w:pPr>
      <w:r>
        <w:t>NFR-SEC-005: Notification of personal data breaches to the Personal Data Protection Office within statutory timeframes.</w:t>
      </w:r>
    </w:p>
    <w:p>
      <w:pPr>
        <w:pStyle w:val="Heading2"/>
      </w:pPr>
      <w:r>
        <w:t>6.4 Usability and accessibility</w:t>
      </w:r>
    </w:p>
    <w:p>
      <w:pPr>
        <w:pStyle w:val="ListNumber"/>
        <w:spacing w:after="40"/>
      </w:pPr>
      <w:r>
        <w:t>NFR-UX-001: Mobile-first responsive design.</w:t>
      </w:r>
    </w:p>
    <w:p>
      <w:pPr>
        <w:pStyle w:val="ListNumber"/>
        <w:spacing w:after="40"/>
      </w:pPr>
      <w:r>
        <w:t>NFR-UX-002: UK English primary; critical user guide content translated to Kiswahili.</w:t>
      </w:r>
    </w:p>
    <w:p>
      <w:pPr>
        <w:pStyle w:val="ListNumber"/>
        <w:spacing w:after="40"/>
      </w:pPr>
      <w:r>
        <w:t>NFR-UX-003: WCAG 2.1 AA accessibility for the public portal and administrative interfaces.</w:t>
      </w:r>
    </w:p>
    <w:p>
      <w:pPr>
        <w:pStyle w:val="ListNumber"/>
        <w:spacing w:after="40"/>
      </w:pPr>
      <w:r>
        <w:t>NFR-UX-004: Role-based dashboards with on-screen help and a printable manual booklet for low-skill users.</w:t>
      </w:r>
    </w:p>
    <w:p>
      <w:pPr>
        <w:pStyle w:val="Heading2"/>
      </w:pPr>
      <w:r>
        <w:t>6.5 Maintainability and operations</w:t>
      </w:r>
    </w:p>
    <w:p>
      <w:pPr>
        <w:pStyle w:val="ListNumber"/>
        <w:spacing w:after="40"/>
      </w:pPr>
      <w:r>
        <w:t>NFR-OPS-001: Twelve-month maintenance support and quarterly enhancement releases post go-live.</w:t>
      </w:r>
    </w:p>
    <w:p>
      <w:pPr>
        <w:pStyle w:val="ListNumber"/>
        <w:spacing w:after="40"/>
      </w:pPr>
      <w:r>
        <w:t>NFR-OPS-002: Production support handover pack including environment configuration, known defects, common errors, and exception handling.</w:t>
      </w:r>
    </w:p>
    <w:p>
      <w:pPr>
        <w:pStyle w:val="ListNumber"/>
        <w:spacing w:after="40"/>
      </w:pPr>
      <w:r>
        <w:t>NFR-OPS-003: Documentation: System Design Document, API docs (OpenAPI), data dictionary, ERDs, deployment runbook.</w:t>
      </w:r>
    </w:p>
    <w:p>
      <w:pPr>
        <w:pStyle w:val="Heading1"/>
      </w:pPr>
      <w:r>
        <w:t>7. Architecture overview (Django)</w:t>
      </w:r>
    </w:p>
    <w:p>
      <w:pPr>
        <w:spacing w:after="120"/>
      </w:pPr>
      <w:r>
        <w:t>The MIS shall be built on Django (Python 3.12+) with PostgreSQL 16, Redis for caching and queues, and Celery for background tasks. This aligns with the existing MGLSD program MIS stack (OVC-MIS, DMIS, Uganda Women Entrepreneurship, JUA KALI) which the 2023 Rapid Assessment confirms is Django-based. It diverges from the TOR's specified ASP.NET / C# / MS SQL Server stack; the rationale is in section 7.4.</w:t>
      </w:r>
    </w:p>
    <w:p>
      <w:pPr>
        <w:pStyle w:val="Heading2"/>
      </w:pPr>
      <w:r>
        <w:t>7.1 Logical layers</w:t>
      </w:r>
    </w:p>
    <w:p>
      <w:pPr>
        <w:pStyle w:val="ListBullet"/>
        <w:spacing w:after="40"/>
      </w:pPr>
      <w:r>
        <w:t>Presentation: Django templates + HTMX or React for richer interactions; mobile-responsive.</w:t>
      </w:r>
    </w:p>
    <w:p>
      <w:pPr>
        <w:pStyle w:val="ListBullet"/>
        <w:spacing w:after="40"/>
      </w:pPr>
      <w:r>
        <w:t>API: Django REST Framework with versioned routes; OpenAPI 3.0 contract.</w:t>
      </w:r>
    </w:p>
    <w:p>
      <w:pPr>
        <w:pStyle w:val="ListBullet"/>
        <w:spacing w:after="40"/>
      </w:pPr>
      <w:r>
        <w:t>Domain: Django apps per module (intake, dq, identity, eligibility, updates, grievance, programmes, sharing, reporting, admin).</w:t>
      </w:r>
    </w:p>
    <w:p>
      <w:pPr>
        <w:pStyle w:val="ListBullet"/>
        <w:spacing w:after="40"/>
      </w:pPr>
      <w:r>
        <w:t>Integration: dedicated connectors for NIRA, UBOS, NSSF, MoH, MoES, OPM, MAAIF; outbound webhooks via Celery.</w:t>
      </w:r>
    </w:p>
    <w:p>
      <w:pPr>
        <w:pStyle w:val="ListBullet"/>
        <w:spacing w:after="40"/>
      </w:pPr>
      <w:r>
        <w:t>Persistence: PostgreSQL 16 primary; row-level partitioning for high-volume tables (intake, audit, updates).</w:t>
      </w:r>
    </w:p>
    <w:p>
      <w:pPr>
        <w:pStyle w:val="ListBullet"/>
        <w:spacing w:after="40"/>
      </w:pPr>
      <w:r>
        <w:t>Async: Celery workers, Redis broker, Beat scheduler for recertification and reconciliation jobs.</w:t>
      </w:r>
    </w:p>
    <w:p>
      <w:pPr>
        <w:pStyle w:val="ListBullet"/>
        <w:spacing w:after="40"/>
      </w:pPr>
      <w:r>
        <w:t>Search: PostgreSQL full-text plus optional OpenSearch for cross-cutting search.</w:t>
      </w:r>
    </w:p>
    <w:p>
      <w:pPr>
        <w:pStyle w:val="ListBullet"/>
        <w:spacing w:after="40"/>
      </w:pPr>
      <w:r>
        <w:t>Observability: Prometheus + Grafana for metrics, ELK or OpenSearch for logs, Sentry for application errors.</w:t>
      </w:r>
    </w:p>
    <w:p>
      <w:pPr>
        <w:pStyle w:val="Heading2"/>
      </w:pPr>
      <w:r>
        <w:t>7.2 Deployment</w:t>
      </w:r>
    </w:p>
    <w:p>
      <w:pPr>
        <w:pStyle w:val="ListBullet"/>
        <w:spacing w:after="40"/>
      </w:pPr>
      <w:r>
        <w:t>Primary data centre: MGLSD (existing HPE cluster, capacity available per Rapid Assessment).</w:t>
      </w:r>
    </w:p>
    <w:p>
      <w:pPr>
        <w:pStyle w:val="ListBullet"/>
        <w:spacing w:after="40"/>
      </w:pPr>
      <w:r>
        <w:t>Disaster recovery: NITA-U (BaaS available at zero cost for the existing NSR MIS).</w:t>
      </w:r>
    </w:p>
    <w:p>
      <w:pPr>
        <w:pStyle w:val="ListBullet"/>
        <w:spacing w:after="40"/>
      </w:pPr>
      <w:r>
        <w:t>Off-site tape backups in a bank safe and a fire-proof container on-site (TOR).</w:t>
      </w:r>
    </w:p>
    <w:p>
      <w:pPr>
        <w:pStyle w:val="ListBullet"/>
        <w:spacing w:after="40"/>
      </w:pPr>
      <w:r>
        <w:t>Containerised via Docker; orchestration optional (Kubernetes or Docker Compose with HA).</w:t>
      </w:r>
    </w:p>
    <w:p>
      <w:pPr>
        <w:pStyle w:val="Heading2"/>
      </w:pPr>
      <w:r>
        <w:t>7.3 Integration architecture</w:t>
      </w:r>
    </w:p>
    <w:p>
      <w:pPr>
        <w:pStyle w:val="ListBullet"/>
        <w:spacing w:after="40"/>
      </w:pPr>
      <w:r>
        <w:t>API gateway in front of all consumers; OAuth 2.0 client credentials and mutual TLS over VPN for sensitive consumers (NIRA, NSSF).</w:t>
      </w:r>
    </w:p>
    <w:p>
      <w:pPr>
        <w:pStyle w:val="ListBullet"/>
        <w:spacing w:after="40"/>
      </w:pPr>
      <w:r>
        <w:t>Inbound webhooks from programme MISs to dedicated endpoints with HMAC verification.</w:t>
      </w:r>
    </w:p>
    <w:p>
      <w:pPr>
        <w:pStyle w:val="ListBullet"/>
        <w:spacing w:after="40"/>
      </w:pPr>
      <w:r>
        <w:t>Outbound webhooks to subscribed programme MISs with retry, DLQ, and replay support.</w:t>
      </w:r>
    </w:p>
    <w:p>
      <w:pPr>
        <w:pStyle w:val="ListBullet"/>
        <w:spacing w:after="40"/>
      </w:pPr>
      <w:r>
        <w:t>Reference data (UBOS geographic master list, code lists) exposed via API.</w:t>
      </w:r>
    </w:p>
    <w:p>
      <w:pPr>
        <w:pStyle w:val="Heading2"/>
      </w:pPr>
      <w:r>
        <w:t>7.4 Note on the TOR technology stack</w:t>
      </w:r>
    </w:p>
    <w:p>
      <w:pPr>
        <w:spacing w:after="120"/>
      </w:pPr>
      <w:r>
        <w:t>The TOR specifies ASP.NET, C#, and Microsoft SQL Server 2017. The 2023 Rapid Assessment found that the existing National Single Registry runs on MySQL with HTML/CSS, and all other MGLSD programme MISs run on Django/PostgreSQL/MySQL. The decision to build the NSR MIS on Django is consistent with this broader landscape, avoids commercial licensing, and aligns with the in-house Django skills in MGLSD's MIS portfolio. This deviation from the TOR shall be formally captured in a change request to the procurement, with a documented assessment of risk, cost, and capacity. All non-functional targets in the TOR shall be honoured regardless of stack.</w:t>
      </w:r>
    </w:p>
    <w:p>
      <w:pPr>
        <w:pStyle w:val="Heading1"/>
      </w:pPr>
      <w:r>
        <w:t>8. Integrations</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984"/>
            <w:shd w:val="clear" w:color="auto" w:fill="1F4E78"/>
            <w:vAlign w:val="top"/>
          </w:tcPr>
          <w:p>
            <w:r/>
            <w:r>
              <w:rPr>
                <w:b/>
                <w:color w:val="FFFFFF"/>
                <w:sz w:val="20"/>
              </w:rPr>
              <w:t>System</w:t>
            </w:r>
          </w:p>
        </w:tc>
        <w:tc>
          <w:tcPr>
            <w:tcW w:type="dxa" w:w="1417"/>
            <w:shd w:val="clear" w:color="auto" w:fill="1F4E78"/>
            <w:vAlign w:val="top"/>
          </w:tcPr>
          <w:p>
            <w:r/>
            <w:r>
              <w:rPr>
                <w:b/>
                <w:color w:val="FFFFFF"/>
                <w:sz w:val="20"/>
              </w:rPr>
              <w:t>Direction</w:t>
            </w:r>
          </w:p>
        </w:tc>
        <w:tc>
          <w:tcPr>
            <w:tcW w:type="dxa" w:w="2835"/>
            <w:shd w:val="clear" w:color="auto" w:fill="1F4E78"/>
            <w:vAlign w:val="top"/>
          </w:tcPr>
          <w:p>
            <w:r/>
            <w:r>
              <w:rPr>
                <w:b/>
                <w:color w:val="FFFFFF"/>
                <w:sz w:val="20"/>
              </w:rPr>
              <w:t>Purpose</w:t>
            </w:r>
          </w:p>
        </w:tc>
        <w:tc>
          <w:tcPr>
            <w:tcW w:type="dxa" w:w="2835"/>
            <w:shd w:val="clear" w:color="auto" w:fill="1F4E78"/>
            <w:vAlign w:val="top"/>
          </w:tcPr>
          <w:p>
            <w:r/>
            <w:r>
              <w:rPr>
                <w:b/>
                <w:color w:val="FFFFFF"/>
                <w:sz w:val="20"/>
              </w:rPr>
              <w:t>Mode</w:t>
            </w:r>
          </w:p>
        </w:tc>
      </w:tr>
      <w:tr>
        <w:tc>
          <w:tcPr>
            <w:tcW w:type="dxa" w:w="1984"/>
            <w:vAlign w:val="top"/>
          </w:tcPr>
          <w:p>
            <w:r/>
            <w:r>
              <w:rPr>
                <w:sz w:val="20"/>
              </w:rPr>
              <w:t>NIRA</w:t>
            </w:r>
          </w:p>
        </w:tc>
        <w:tc>
          <w:tcPr>
            <w:tcW w:type="dxa" w:w="1417"/>
            <w:vAlign w:val="top"/>
          </w:tcPr>
          <w:p>
            <w:r/>
            <w:r>
              <w:rPr>
                <w:sz w:val="20"/>
              </w:rPr>
              <w:t>Bi-directional</w:t>
            </w:r>
          </w:p>
        </w:tc>
        <w:tc>
          <w:tcPr>
            <w:tcW w:type="dxa" w:w="2835"/>
            <w:vAlign w:val="top"/>
          </w:tcPr>
          <w:p>
            <w:r/>
            <w:r>
              <w:rPr>
                <w:sz w:val="20"/>
              </w:rPr>
              <w:t>NIN validation, birth/death events, biometric confirmation (where permitted).</w:t>
            </w:r>
          </w:p>
        </w:tc>
        <w:tc>
          <w:tcPr>
            <w:tcW w:type="dxa" w:w="2835"/>
            <w:vAlign w:val="top"/>
          </w:tcPr>
          <w:p>
            <w:r/>
            <w:r>
              <w:rPr>
                <w:sz w:val="20"/>
              </w:rPr>
              <w:t>REST over VPN with mutual TLS; sync (real-time) + async (batch).</w:t>
            </w:r>
          </w:p>
        </w:tc>
      </w:tr>
      <w:tr>
        <w:tc>
          <w:tcPr>
            <w:tcW w:type="dxa" w:w="1984"/>
            <w:vAlign w:val="top"/>
          </w:tcPr>
          <w:p>
            <w:r/>
            <w:r>
              <w:rPr>
                <w:sz w:val="20"/>
              </w:rPr>
              <w:t>UBOS</w:t>
            </w:r>
          </w:p>
        </w:tc>
        <w:tc>
          <w:tcPr>
            <w:tcW w:type="dxa" w:w="1417"/>
            <w:vAlign w:val="top"/>
          </w:tcPr>
          <w:p>
            <w:r/>
            <w:r>
              <w:rPr>
                <w:sz w:val="20"/>
              </w:rPr>
              <w:t>Inbound (reference data)</w:t>
            </w:r>
          </w:p>
        </w:tc>
        <w:tc>
          <w:tcPr>
            <w:tcW w:type="dxa" w:w="2835"/>
            <w:vAlign w:val="top"/>
          </w:tcPr>
          <w:p>
            <w:r/>
            <w:r>
              <w:rPr>
                <w:sz w:val="20"/>
              </w:rPr>
              <w:t>Geographic master list, statistical standards.</w:t>
            </w:r>
          </w:p>
        </w:tc>
        <w:tc>
          <w:tcPr>
            <w:tcW w:type="dxa" w:w="2835"/>
            <w:vAlign w:val="top"/>
          </w:tcPr>
          <w:p>
            <w:r/>
            <w:r>
              <w:rPr>
                <w:sz w:val="20"/>
              </w:rPr>
              <w:t>Versioned reference dataset; periodic sync via API.</w:t>
            </w:r>
          </w:p>
        </w:tc>
      </w:tr>
      <w:tr>
        <w:tc>
          <w:tcPr>
            <w:tcW w:type="dxa" w:w="1984"/>
            <w:vAlign w:val="top"/>
          </w:tcPr>
          <w:p>
            <w:r/>
            <w:r>
              <w:rPr>
                <w:sz w:val="20"/>
              </w:rPr>
              <w:t>MGLSD programmes (SAGE, NUSAF4, DRDIP, OVC, DMIS, Women Entrepreneurship, etc.)</w:t>
            </w:r>
          </w:p>
        </w:tc>
        <w:tc>
          <w:tcPr>
            <w:tcW w:type="dxa" w:w="1417"/>
            <w:vAlign w:val="top"/>
          </w:tcPr>
          <w:p>
            <w:r/>
            <w:r>
              <w:rPr>
                <w:sz w:val="20"/>
              </w:rPr>
              <w:t>Bi-directional</w:t>
            </w:r>
          </w:p>
        </w:tc>
        <w:tc>
          <w:tcPr>
            <w:tcW w:type="dxa" w:w="2835"/>
            <w:vAlign w:val="top"/>
          </w:tcPr>
          <w:p>
            <w:r/>
            <w:r>
              <w:rPr>
                <w:sz w:val="20"/>
              </w:rPr>
              <w:t>Candidate list pull, enrolment/exit/grievance/payment events back.</w:t>
            </w:r>
          </w:p>
        </w:tc>
        <w:tc>
          <w:tcPr>
            <w:tcW w:type="dxa" w:w="2835"/>
            <w:vAlign w:val="top"/>
          </w:tcPr>
          <w:p>
            <w:r/>
            <w:r>
              <w:rPr>
                <w:sz w:val="20"/>
              </w:rPr>
              <w:t>REST + webhooks; harmonised data dictionary.</w:t>
            </w:r>
          </w:p>
        </w:tc>
      </w:tr>
      <w:tr>
        <w:tc>
          <w:tcPr>
            <w:tcW w:type="dxa" w:w="1984"/>
            <w:vAlign w:val="top"/>
          </w:tcPr>
          <w:p>
            <w:r/>
            <w:r>
              <w:rPr>
                <w:sz w:val="20"/>
              </w:rPr>
              <w:t>OPM</w:t>
            </w:r>
          </w:p>
        </w:tc>
        <w:tc>
          <w:tcPr>
            <w:tcW w:type="dxa" w:w="1417"/>
            <w:vAlign w:val="top"/>
          </w:tcPr>
          <w:p>
            <w:r/>
            <w:r>
              <w:rPr>
                <w:sz w:val="20"/>
              </w:rPr>
              <w:t>Outbound + inbound</w:t>
            </w:r>
          </w:p>
        </w:tc>
        <w:tc>
          <w:tcPr>
            <w:tcW w:type="dxa" w:w="2835"/>
            <w:vAlign w:val="top"/>
          </w:tcPr>
          <w:p>
            <w:r/>
            <w:r>
              <w:rPr>
                <w:sz w:val="20"/>
              </w:rPr>
              <w:t>Disaster zones, refugee registry; OPM dashboards and CSV/API.</w:t>
            </w:r>
          </w:p>
        </w:tc>
        <w:tc>
          <w:tcPr>
            <w:tcW w:type="dxa" w:w="2835"/>
            <w:vAlign w:val="top"/>
          </w:tcPr>
          <w:p>
            <w:r/>
            <w:r>
              <w:rPr>
                <w:sz w:val="20"/>
              </w:rPr>
              <w:t>REST + scheduled CSV exports.</w:t>
            </w:r>
          </w:p>
        </w:tc>
      </w:tr>
      <w:tr>
        <w:tc>
          <w:tcPr>
            <w:tcW w:type="dxa" w:w="1984"/>
            <w:vAlign w:val="top"/>
          </w:tcPr>
          <w:p>
            <w:r/>
            <w:r>
              <w:rPr>
                <w:sz w:val="20"/>
              </w:rPr>
              <w:t>NSSF</w:t>
            </w:r>
          </w:p>
        </w:tc>
        <w:tc>
          <w:tcPr>
            <w:tcW w:type="dxa" w:w="1417"/>
            <w:vAlign w:val="top"/>
          </w:tcPr>
          <w:p>
            <w:r/>
            <w:r>
              <w:rPr>
                <w:sz w:val="20"/>
              </w:rPr>
              <w:t>Inbound</w:t>
            </w:r>
          </w:p>
        </w:tc>
        <w:tc>
          <w:tcPr>
            <w:tcW w:type="dxa" w:w="2835"/>
            <w:vAlign w:val="top"/>
          </w:tcPr>
          <w:p>
            <w:r/>
            <w:r>
              <w:rPr>
                <w:sz w:val="20"/>
              </w:rPr>
              <w:t>Contributory status as poverty proxy enrichment.</w:t>
            </w:r>
          </w:p>
        </w:tc>
        <w:tc>
          <w:tcPr>
            <w:tcW w:type="dxa" w:w="2835"/>
            <w:vAlign w:val="top"/>
          </w:tcPr>
          <w:p>
            <w:r/>
            <w:r>
              <w:rPr>
                <w:sz w:val="20"/>
              </w:rPr>
              <w:t>REST over VPN; periodic refresh.</w:t>
            </w:r>
          </w:p>
        </w:tc>
      </w:tr>
      <w:tr>
        <w:tc>
          <w:tcPr>
            <w:tcW w:type="dxa" w:w="1984"/>
            <w:vAlign w:val="top"/>
          </w:tcPr>
          <w:p>
            <w:r/>
            <w:r>
              <w:rPr>
                <w:sz w:val="20"/>
              </w:rPr>
              <w:t>MoH (DHIS2/HMIS)</w:t>
            </w:r>
          </w:p>
        </w:tc>
        <w:tc>
          <w:tcPr>
            <w:tcW w:type="dxa" w:w="1417"/>
            <w:vAlign w:val="top"/>
          </w:tcPr>
          <w:p>
            <w:r/>
            <w:r>
              <w:rPr>
                <w:sz w:val="20"/>
              </w:rPr>
              <w:t>Inbound</w:t>
            </w:r>
          </w:p>
        </w:tc>
        <w:tc>
          <w:tcPr>
            <w:tcW w:type="dxa" w:w="2835"/>
            <w:vAlign w:val="top"/>
          </w:tcPr>
          <w:p>
            <w:r/>
            <w:r>
              <w:rPr>
                <w:sz w:val="20"/>
              </w:rPr>
              <w:t>Health and nutrition signals.</w:t>
            </w:r>
          </w:p>
        </w:tc>
        <w:tc>
          <w:tcPr>
            <w:tcW w:type="dxa" w:w="2835"/>
            <w:vAlign w:val="top"/>
          </w:tcPr>
          <w:p>
            <w:r/>
            <w:r>
              <w:rPr>
                <w:sz w:val="20"/>
              </w:rPr>
              <w:t>REST; periodic refresh.</w:t>
            </w:r>
          </w:p>
        </w:tc>
      </w:tr>
      <w:tr>
        <w:tc>
          <w:tcPr>
            <w:tcW w:type="dxa" w:w="1984"/>
            <w:vAlign w:val="top"/>
          </w:tcPr>
          <w:p>
            <w:r/>
            <w:r>
              <w:rPr>
                <w:sz w:val="20"/>
              </w:rPr>
              <w:t>MoES (EMIS)</w:t>
            </w:r>
          </w:p>
        </w:tc>
        <w:tc>
          <w:tcPr>
            <w:tcW w:type="dxa" w:w="1417"/>
            <w:vAlign w:val="top"/>
          </w:tcPr>
          <w:p>
            <w:r/>
            <w:r>
              <w:rPr>
                <w:sz w:val="20"/>
              </w:rPr>
              <w:t>Inbound</w:t>
            </w:r>
          </w:p>
        </w:tc>
        <w:tc>
          <w:tcPr>
            <w:tcW w:type="dxa" w:w="2835"/>
            <w:vAlign w:val="top"/>
          </w:tcPr>
          <w:p>
            <w:r/>
            <w:r>
              <w:rPr>
                <w:sz w:val="20"/>
              </w:rPr>
              <w:t>School enrolment and attendance signals.</w:t>
            </w:r>
          </w:p>
        </w:tc>
        <w:tc>
          <w:tcPr>
            <w:tcW w:type="dxa" w:w="2835"/>
            <w:vAlign w:val="top"/>
          </w:tcPr>
          <w:p>
            <w:r/>
            <w:r>
              <w:rPr>
                <w:sz w:val="20"/>
              </w:rPr>
              <w:t>REST or batch.</w:t>
            </w:r>
          </w:p>
        </w:tc>
      </w:tr>
      <w:tr>
        <w:tc>
          <w:tcPr>
            <w:tcW w:type="dxa" w:w="1984"/>
            <w:vAlign w:val="top"/>
          </w:tcPr>
          <w:p>
            <w:r/>
            <w:r>
              <w:rPr>
                <w:sz w:val="20"/>
              </w:rPr>
              <w:t>MAAIF farmer registry</w:t>
            </w:r>
          </w:p>
        </w:tc>
        <w:tc>
          <w:tcPr>
            <w:tcW w:type="dxa" w:w="1417"/>
            <w:vAlign w:val="top"/>
          </w:tcPr>
          <w:p>
            <w:r/>
            <w:r>
              <w:rPr>
                <w:sz w:val="20"/>
              </w:rPr>
              <w:t>Inbound</w:t>
            </w:r>
          </w:p>
        </w:tc>
        <w:tc>
          <w:tcPr>
            <w:tcW w:type="dxa" w:w="2835"/>
            <w:vAlign w:val="top"/>
          </w:tcPr>
          <w:p>
            <w:r/>
            <w:r>
              <w:rPr>
                <w:sz w:val="20"/>
              </w:rPr>
              <w:t>Rural livelihood enrichment.</w:t>
            </w:r>
          </w:p>
        </w:tc>
        <w:tc>
          <w:tcPr>
            <w:tcW w:type="dxa" w:w="2835"/>
            <w:vAlign w:val="top"/>
          </w:tcPr>
          <w:p>
            <w:r/>
            <w:r>
              <w:rPr>
                <w:sz w:val="20"/>
              </w:rPr>
              <w:t>REST or batch.</w:t>
            </w:r>
          </w:p>
        </w:tc>
      </w:tr>
      <w:tr>
        <w:tc>
          <w:tcPr>
            <w:tcW w:type="dxa" w:w="1984"/>
            <w:vAlign w:val="top"/>
          </w:tcPr>
          <w:p>
            <w:r/>
            <w:r>
              <w:rPr>
                <w:sz w:val="20"/>
              </w:rPr>
              <w:t>Existing National Single Registry</w:t>
            </w:r>
          </w:p>
        </w:tc>
        <w:tc>
          <w:tcPr>
            <w:tcW w:type="dxa" w:w="1417"/>
            <w:vAlign w:val="top"/>
          </w:tcPr>
          <w:p>
            <w:r/>
            <w:r>
              <w:rPr>
                <w:sz w:val="20"/>
              </w:rPr>
              <w:t>Bi-directional</w:t>
            </w:r>
          </w:p>
        </w:tc>
        <w:tc>
          <w:tcPr>
            <w:tcW w:type="dxa" w:w="2835"/>
            <w:vAlign w:val="top"/>
          </w:tcPr>
          <w:p>
            <w:r/>
            <w:r>
              <w:rPr>
                <w:sz w:val="20"/>
              </w:rPr>
              <w:t>Migrate historical data; share PMT scores; receive harmonised programme events.</w:t>
            </w:r>
          </w:p>
        </w:tc>
        <w:tc>
          <w:tcPr>
            <w:tcW w:type="dxa" w:w="2835"/>
            <w:vAlign w:val="top"/>
          </w:tcPr>
          <w:p>
            <w:r/>
            <w:r>
              <w:rPr>
                <w:sz w:val="20"/>
              </w:rPr>
              <w:t>Direct DB migration + API.</w:t>
            </w:r>
          </w:p>
        </w:tc>
      </w:tr>
    </w:tbl>
    <w:p/>
    <w:p>
      <w:pPr>
        <w:pStyle w:val="Heading1"/>
      </w:pPr>
      <w:r>
        <w:t>9. Data governance and data quality</w:t>
      </w:r>
    </w:p>
    <w:p>
      <w:pPr>
        <w:pStyle w:val="Heading2"/>
      </w:pPr>
      <w:r>
        <w:t>9.1 Governance bodies</w:t>
      </w:r>
    </w:p>
    <w:p>
      <w:pPr>
        <w:pStyle w:val="ListBullet"/>
        <w:spacing w:after="40"/>
      </w:pPr>
      <w:r>
        <w:t>Data Working Group (DWG): owns data standards, questionnaire, PMT, interoperability standards, data governance protocols.</w:t>
      </w:r>
    </w:p>
    <w:p>
      <w:pPr>
        <w:pStyle w:val="ListBullet"/>
        <w:spacing w:after="40"/>
      </w:pPr>
      <w:r>
        <w:t>Social Protection Steering Committee: strategic oversight; chaired at ministerial level.</w:t>
      </w:r>
    </w:p>
    <w:p>
      <w:pPr>
        <w:pStyle w:val="ListBullet"/>
        <w:spacing w:after="40"/>
      </w:pPr>
      <w:r>
        <w:t>NSR Unit (MGLSD): owns the MIS roadmap and operations.</w:t>
      </w:r>
    </w:p>
    <w:p>
      <w:pPr>
        <w:pStyle w:val="ListBullet"/>
        <w:spacing w:after="40"/>
      </w:pPr>
      <w:r>
        <w:t>STAAC sub-component (Inspectorate of Government): third-party monitoring including 2% household re-interviews.</w:t>
      </w:r>
    </w:p>
    <w:p>
      <w:pPr>
        <w:pStyle w:val="Heading2"/>
      </w:pPr>
      <w:r>
        <w:t>9.2 Data quality assurance rules</w:t>
      </w:r>
    </w:p>
    <w:p>
      <w:pPr>
        <w:pStyle w:val="ListNumber"/>
        <w:spacing w:after="40"/>
      </w:pPr>
      <w:r>
        <w:t>DQA-001: Real-time format and range validations on every field at the point of capture.</w:t>
      </w:r>
    </w:p>
    <w:p>
      <w:pPr>
        <w:pStyle w:val="ListNumber"/>
        <w:spacing w:after="40"/>
      </w:pPr>
      <w:r>
        <w:t>DQA-002: Cross-field consistency checks (age vs relationship, dates of birth vs marital status, etc.).</w:t>
      </w:r>
    </w:p>
    <w:p>
      <w:pPr>
        <w:pStyle w:val="ListNumber"/>
        <w:spacing w:after="40"/>
      </w:pPr>
      <w:r>
        <w:t>DQA-003: NIRA cross-check on every NIN (real-time at intake, batch post-hoc for offline collection).</w:t>
      </w:r>
    </w:p>
    <w:p>
      <w:pPr>
        <w:pStyle w:val="ListNumber"/>
        <w:spacing w:after="40"/>
      </w:pPr>
      <w:r>
        <w:t>DQA-004: Deduplication on (NIN), (name + DOB + sex + village), and (GPS + head + composition) signatures.</w:t>
      </w:r>
    </w:p>
    <w:p>
      <w:pPr>
        <w:pStyle w:val="ListNumber"/>
        <w:spacing w:after="40"/>
      </w:pPr>
      <w:r>
        <w:t>DQA-005: Daily anomaly reports from the dashboards during field operations.</w:t>
      </w:r>
    </w:p>
    <w:p>
      <w:pPr>
        <w:pStyle w:val="ListNumber"/>
        <w:spacing w:after="40"/>
      </w:pPr>
      <w:r>
        <w:t>DQA-006: Independent third-party spot checks on a sample of households per region.</w:t>
      </w:r>
    </w:p>
    <w:p>
      <w:pPr>
        <w:pStyle w:val="ListNumber"/>
        <w:spacing w:after="40"/>
      </w:pPr>
      <w:r>
        <w:t>DQA-007: Aggregate comparison of indicators (roof, water, sanitation, energy) against the latest UBOS living-conditions survey.</w:t>
      </w:r>
    </w:p>
    <w:p>
      <w:pPr>
        <w:pStyle w:val="ListNumber"/>
        <w:spacing w:after="40"/>
      </w:pPr>
      <w:r>
        <w:t>DQA-008: Random supervisor re-interviews of a fraction of completed households.</w:t>
      </w:r>
    </w:p>
    <w:p>
      <w:pPr>
        <w:pStyle w:val="ListNumber"/>
        <w:spacing w:after="40"/>
      </w:pPr>
      <w:r>
        <w:t>DQA-009: Tracking of quality KPIs: missing-data rate, duplication rate, NIRA mismatch rate, change-request resolution time, time since last update per household.</w:t>
      </w:r>
    </w:p>
    <w:p>
      <w:pPr>
        <w:pStyle w:val="Heading1"/>
      </w:pPr>
      <w:r>
        <w:t>10. Security and data protection</w:t>
      </w:r>
    </w:p>
    <w:p>
      <w:pPr>
        <w:spacing w:after="120"/>
      </w:pPr>
      <w:r>
        <w:t>The MIS shall comply with the 2019 Data Protection and Privacy Act and shall implement security and privacy from day one as a non-negotiable foundation. Key controls:</w:t>
      </w:r>
    </w:p>
    <w:p>
      <w:pPr>
        <w:pStyle w:val="ListBullet"/>
        <w:spacing w:after="40"/>
      </w:pPr>
      <w:r>
        <w:t>Privacy by design and by default. Data minimisation by configuration.</w:t>
      </w:r>
    </w:p>
    <w:p>
      <w:pPr>
        <w:pStyle w:val="ListBullet"/>
        <w:spacing w:after="40"/>
      </w:pPr>
      <w:r>
        <w:t>Granular consent per purpose, with withdrawal workflow.</w:t>
      </w:r>
    </w:p>
    <w:p>
      <w:pPr>
        <w:pStyle w:val="ListBullet"/>
        <w:spacing w:after="40"/>
      </w:pPr>
      <w:r>
        <w:t>Role-based and geographic access control; segregation of duties (no self-approval).</w:t>
      </w:r>
    </w:p>
    <w:p>
      <w:pPr>
        <w:pStyle w:val="ListBullet"/>
        <w:spacing w:after="40"/>
      </w:pPr>
      <w:r>
        <w:t>End-to-end encryption in transit and at rest; KMS-backed key management.</w:t>
      </w:r>
    </w:p>
    <w:p>
      <w:pPr>
        <w:pStyle w:val="ListBullet"/>
        <w:spacing w:after="40"/>
      </w:pPr>
      <w:r>
        <w:t>Pseudonymisation and anonymisation for analytics and external sharing.</w:t>
      </w:r>
    </w:p>
    <w:p>
      <w:pPr>
        <w:pStyle w:val="ListBullet"/>
        <w:spacing w:after="40"/>
      </w:pPr>
      <w:r>
        <w:t>Immutable, tamper-evident audit logs covering every action.</w:t>
      </w:r>
    </w:p>
    <w:p>
      <w:pPr>
        <w:pStyle w:val="ListBullet"/>
        <w:spacing w:after="40"/>
      </w:pPr>
      <w:r>
        <w:t>Annual penetration tests, continuous vulnerability scans, and a documented incident response plan.</w:t>
      </w:r>
    </w:p>
    <w:p>
      <w:pPr>
        <w:pStyle w:val="ListBullet"/>
        <w:spacing w:after="40"/>
      </w:pPr>
      <w:r>
        <w:t>Breach notification to the Personal Data Protection Office within statutory time.</w:t>
      </w:r>
    </w:p>
    <w:p>
      <w:pPr>
        <w:pStyle w:val="ListBullet"/>
        <w:spacing w:after="40"/>
      </w:pPr>
      <w:r>
        <w:t>Mandatory NDAs and recurrent training for all system users.</w:t>
      </w:r>
    </w:p>
    <w:p>
      <w:pPr>
        <w:pStyle w:val="Heading1"/>
      </w:pPr>
      <w:r>
        <w:t>11. Implementation phases</w:t>
      </w:r>
    </w:p>
    <w:p>
      <w:pPr>
        <w:spacing w:after="120"/>
      </w:pPr>
      <w:r>
        <w:t>Aligned with the TOR rollout dates and the Framework's progressive approach.</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268"/>
            <w:shd w:val="clear" w:color="auto" w:fill="1F4E78"/>
            <w:vAlign w:val="top"/>
          </w:tcPr>
          <w:p>
            <w:r/>
            <w:r>
              <w:rPr>
                <w:b/>
                <w:color w:val="FFFFFF"/>
                <w:sz w:val="20"/>
              </w:rPr>
              <w:t>Phase</w:t>
            </w:r>
          </w:p>
        </w:tc>
        <w:tc>
          <w:tcPr>
            <w:tcW w:type="dxa" w:w="2268"/>
            <w:shd w:val="clear" w:color="auto" w:fill="1F4E78"/>
            <w:vAlign w:val="top"/>
          </w:tcPr>
          <w:p>
            <w:r/>
            <w:r>
              <w:rPr>
                <w:b/>
                <w:color w:val="FFFFFF"/>
                <w:sz w:val="20"/>
              </w:rPr>
              <w:t>Dates (TOR)</w:t>
            </w:r>
          </w:p>
        </w:tc>
        <w:tc>
          <w:tcPr>
            <w:tcW w:type="dxa" w:w="4535"/>
            <w:shd w:val="clear" w:color="auto" w:fill="1F4E78"/>
            <w:vAlign w:val="top"/>
          </w:tcPr>
          <w:p>
            <w:r/>
            <w:r>
              <w:rPr>
                <w:b/>
                <w:color w:val="FFFFFF"/>
                <w:sz w:val="20"/>
              </w:rPr>
              <w:t>Scope</w:t>
            </w:r>
          </w:p>
        </w:tc>
      </w:tr>
      <w:tr>
        <w:tc>
          <w:tcPr>
            <w:tcW w:type="dxa" w:w="2268"/>
            <w:vAlign w:val="top"/>
          </w:tcPr>
          <w:p>
            <w:r/>
            <w:r>
              <w:rPr>
                <w:sz w:val="20"/>
              </w:rPr>
              <w:t>Inception and design</w:t>
            </w:r>
          </w:p>
        </w:tc>
        <w:tc>
          <w:tcPr>
            <w:tcW w:type="dxa" w:w="2268"/>
            <w:vAlign w:val="top"/>
          </w:tcPr>
          <w:p>
            <w:r/>
            <w:r>
              <w:rPr>
                <w:sz w:val="20"/>
              </w:rPr>
              <w:t>Nov 2025 - Feb 2026</w:t>
            </w:r>
          </w:p>
        </w:tc>
        <w:tc>
          <w:tcPr>
            <w:tcW w:type="dxa" w:w="4535"/>
            <w:vAlign w:val="top"/>
          </w:tcPr>
          <w:p>
            <w:r/>
            <w:r>
              <w:rPr>
                <w:sz w:val="20"/>
              </w:rPr>
              <w:t>Inception report, System Design Document, data model validation against final questionnaire.</w:t>
            </w:r>
          </w:p>
        </w:tc>
      </w:tr>
      <w:tr>
        <w:tc>
          <w:tcPr>
            <w:tcW w:type="dxa" w:w="2268"/>
            <w:vAlign w:val="top"/>
          </w:tcPr>
          <w:p>
            <w:r/>
            <w:r>
              <w:rPr>
                <w:sz w:val="20"/>
              </w:rPr>
              <w:t>Core MIS alpha</w:t>
            </w:r>
          </w:p>
        </w:tc>
        <w:tc>
          <w:tcPr>
            <w:tcW w:type="dxa" w:w="2268"/>
            <w:vAlign w:val="top"/>
          </w:tcPr>
          <w:p>
            <w:r/>
            <w:r>
              <w:rPr>
                <w:sz w:val="20"/>
              </w:rPr>
              <w:t>Mar 2026</w:t>
            </w:r>
          </w:p>
        </w:tc>
        <w:tc>
          <w:tcPr>
            <w:tcW w:type="dxa" w:w="4535"/>
            <w:vAlign w:val="top"/>
          </w:tcPr>
          <w:p>
            <w:r/>
            <w:r>
              <w:rPr>
                <w:sz w:val="20"/>
              </w:rPr>
              <w:t>Intake, household/individual management, identity verification, basic admin/audit.</w:t>
            </w:r>
          </w:p>
        </w:tc>
      </w:tr>
      <w:tr>
        <w:tc>
          <w:tcPr>
            <w:tcW w:type="dxa" w:w="2268"/>
            <w:vAlign w:val="top"/>
          </w:tcPr>
          <w:p>
            <w:r/>
            <w:r>
              <w:rPr>
                <w:sz w:val="20"/>
              </w:rPr>
              <w:t>Pilot deployment</w:t>
            </w:r>
          </w:p>
        </w:tc>
        <w:tc>
          <w:tcPr>
            <w:tcW w:type="dxa" w:w="2268"/>
            <w:vAlign w:val="top"/>
          </w:tcPr>
          <w:p>
            <w:r/>
            <w:r>
              <w:rPr>
                <w:sz w:val="20"/>
              </w:rPr>
              <w:t>Apr 2026</w:t>
            </w:r>
          </w:p>
        </w:tc>
        <w:tc>
          <w:tcPr>
            <w:tcW w:type="dxa" w:w="4535"/>
            <w:vAlign w:val="top"/>
          </w:tcPr>
          <w:p>
            <w:r/>
            <w:r>
              <w:rPr>
                <w:sz w:val="20"/>
              </w:rPr>
              <w:t>Selected pilot districts (Karamoja, Acholi).</w:t>
            </w:r>
          </w:p>
        </w:tc>
      </w:tr>
      <w:tr>
        <w:tc>
          <w:tcPr>
            <w:tcW w:type="dxa" w:w="2268"/>
            <w:vAlign w:val="top"/>
          </w:tcPr>
          <w:p>
            <w:r/>
            <w:r>
              <w:rPr>
                <w:sz w:val="20"/>
              </w:rPr>
              <w:t>Pilot evaluation and refinement</w:t>
            </w:r>
          </w:p>
        </w:tc>
        <w:tc>
          <w:tcPr>
            <w:tcW w:type="dxa" w:w="2268"/>
            <w:vAlign w:val="top"/>
          </w:tcPr>
          <w:p>
            <w:r/>
            <w:r>
              <w:rPr>
                <w:sz w:val="20"/>
              </w:rPr>
              <w:t>Jun 2026</w:t>
            </w:r>
          </w:p>
        </w:tc>
        <w:tc>
          <w:tcPr>
            <w:tcW w:type="dxa" w:w="4535"/>
            <w:vAlign w:val="top"/>
          </w:tcPr>
          <w:p>
            <w:r/>
            <w:r>
              <w:rPr>
                <w:sz w:val="20"/>
              </w:rPr>
              <w:t>DQA outcomes, performance tuning, user feedback.</w:t>
            </w:r>
          </w:p>
        </w:tc>
      </w:tr>
      <w:tr>
        <w:tc>
          <w:tcPr>
            <w:tcW w:type="dxa" w:w="2268"/>
            <w:vAlign w:val="top"/>
          </w:tcPr>
          <w:p>
            <w:r/>
            <w:r>
              <w:rPr>
                <w:sz w:val="20"/>
              </w:rPr>
              <w:t>Integration build-out</w:t>
            </w:r>
          </w:p>
        </w:tc>
        <w:tc>
          <w:tcPr>
            <w:tcW w:type="dxa" w:w="2268"/>
            <w:vAlign w:val="top"/>
          </w:tcPr>
          <w:p>
            <w:r/>
            <w:r>
              <w:rPr>
                <w:sz w:val="20"/>
              </w:rPr>
              <w:t>Jul - Aug 2026</w:t>
            </w:r>
          </w:p>
        </w:tc>
        <w:tc>
          <w:tcPr>
            <w:tcW w:type="dxa" w:w="4535"/>
            <w:vAlign w:val="top"/>
          </w:tcPr>
          <w:p>
            <w:r/>
            <w:r>
              <w:rPr>
                <w:sz w:val="20"/>
              </w:rPr>
              <w:t>NIRA, UBOS, programme MIS connectors; API gateway.</w:t>
            </w:r>
          </w:p>
        </w:tc>
      </w:tr>
      <w:tr>
        <w:tc>
          <w:tcPr>
            <w:tcW w:type="dxa" w:w="2268"/>
            <w:vAlign w:val="top"/>
          </w:tcPr>
          <w:p>
            <w:r/>
            <w:r>
              <w:rPr>
                <w:sz w:val="20"/>
              </w:rPr>
              <w:t>Training and documentation</w:t>
            </w:r>
          </w:p>
        </w:tc>
        <w:tc>
          <w:tcPr>
            <w:tcW w:type="dxa" w:w="2268"/>
            <w:vAlign w:val="top"/>
          </w:tcPr>
          <w:p>
            <w:r/>
            <w:r>
              <w:rPr>
                <w:sz w:val="20"/>
              </w:rPr>
              <w:t>Jul - Oct 2026</w:t>
            </w:r>
          </w:p>
        </w:tc>
        <w:tc>
          <w:tcPr>
            <w:tcW w:type="dxa" w:w="4535"/>
            <w:vAlign w:val="top"/>
          </w:tcPr>
          <w:p>
            <w:r/>
            <w:r>
              <w:rPr>
                <w:sz w:val="20"/>
              </w:rPr>
              <w:t>Train-the-trainer; technical and user docs.</w:t>
            </w:r>
          </w:p>
        </w:tc>
      </w:tr>
      <w:tr>
        <w:tc>
          <w:tcPr>
            <w:tcW w:type="dxa" w:w="2268"/>
            <w:vAlign w:val="top"/>
          </w:tcPr>
          <w:p>
            <w:r/>
            <w:r>
              <w:rPr>
                <w:sz w:val="20"/>
              </w:rPr>
              <w:t>Beta (full feature set)</w:t>
            </w:r>
          </w:p>
        </w:tc>
        <w:tc>
          <w:tcPr>
            <w:tcW w:type="dxa" w:w="2268"/>
            <w:vAlign w:val="top"/>
          </w:tcPr>
          <w:p>
            <w:r/>
            <w:r>
              <w:rPr>
                <w:sz w:val="20"/>
              </w:rPr>
              <w:t>Nov 2026</w:t>
            </w:r>
          </w:p>
        </w:tc>
        <w:tc>
          <w:tcPr>
            <w:tcW w:type="dxa" w:w="4535"/>
            <w:vAlign w:val="top"/>
          </w:tcPr>
          <w:p>
            <w:r/>
            <w:r>
              <w:rPr>
                <w:sz w:val="20"/>
              </w:rPr>
              <w:t>All twelve modules in pre-production; UAT.</w:t>
            </w:r>
          </w:p>
        </w:tc>
      </w:tr>
      <w:tr>
        <w:tc>
          <w:tcPr>
            <w:tcW w:type="dxa" w:w="2268"/>
            <w:vAlign w:val="top"/>
          </w:tcPr>
          <w:p>
            <w:r/>
            <w:r>
              <w:rPr>
                <w:sz w:val="20"/>
              </w:rPr>
              <w:t>Data migration and consolidation</w:t>
            </w:r>
          </w:p>
        </w:tc>
        <w:tc>
          <w:tcPr>
            <w:tcW w:type="dxa" w:w="2268"/>
            <w:vAlign w:val="top"/>
          </w:tcPr>
          <w:p>
            <w:r/>
            <w:r>
              <w:rPr>
                <w:sz w:val="20"/>
              </w:rPr>
              <w:t>Jan 2027</w:t>
            </w:r>
          </w:p>
        </w:tc>
        <w:tc>
          <w:tcPr>
            <w:tcW w:type="dxa" w:w="4535"/>
            <w:vAlign w:val="top"/>
          </w:tcPr>
          <w:p>
            <w:r/>
            <w:r>
              <w:rPr>
                <w:sz w:val="20"/>
              </w:rPr>
              <w:t>Cleaning, deduplication, PMT scoring, single-registry consolidation.</w:t>
            </w:r>
          </w:p>
        </w:tc>
      </w:tr>
      <w:tr>
        <w:tc>
          <w:tcPr>
            <w:tcW w:type="dxa" w:w="2268"/>
            <w:vAlign w:val="top"/>
          </w:tcPr>
          <w:p>
            <w:r/>
            <w:r>
              <w:rPr>
                <w:sz w:val="20"/>
              </w:rPr>
              <w:t>GRM module operationalisation</w:t>
            </w:r>
          </w:p>
        </w:tc>
        <w:tc>
          <w:tcPr>
            <w:tcW w:type="dxa" w:w="2268"/>
            <w:vAlign w:val="top"/>
          </w:tcPr>
          <w:p>
            <w:r/>
            <w:r>
              <w:rPr>
                <w:sz w:val="20"/>
              </w:rPr>
              <w:t>Feb 2027</w:t>
            </w:r>
          </w:p>
        </w:tc>
        <w:tc>
          <w:tcPr>
            <w:tcW w:type="dxa" w:w="4535"/>
            <w:vAlign w:val="top"/>
          </w:tcPr>
          <w:p>
            <w:r/>
            <w:r>
              <w:rPr>
                <w:sz w:val="20"/>
              </w:rPr>
              <w:t>Cases live; tiered workflow active.</w:t>
            </w:r>
          </w:p>
        </w:tc>
      </w:tr>
      <w:tr>
        <w:tc>
          <w:tcPr>
            <w:tcW w:type="dxa" w:w="2268"/>
            <w:vAlign w:val="top"/>
          </w:tcPr>
          <w:p>
            <w:r/>
            <w:r>
              <w:rPr>
                <w:sz w:val="20"/>
              </w:rPr>
              <w:t>National launch</w:t>
            </w:r>
          </w:p>
        </w:tc>
        <w:tc>
          <w:tcPr>
            <w:tcW w:type="dxa" w:w="2268"/>
            <w:vAlign w:val="top"/>
          </w:tcPr>
          <w:p>
            <w:r/>
            <w:r>
              <w:rPr>
                <w:sz w:val="20"/>
              </w:rPr>
              <w:t>Mar 2027</w:t>
            </w:r>
          </w:p>
        </w:tc>
        <w:tc>
          <w:tcPr>
            <w:tcW w:type="dxa" w:w="4535"/>
            <w:vAlign w:val="top"/>
          </w:tcPr>
          <w:p>
            <w:r/>
            <w:r>
              <w:rPr>
                <w:sz w:val="20"/>
              </w:rPr>
              <w:t>Production cutover; production support handover.</w:t>
            </w:r>
          </w:p>
        </w:tc>
      </w:tr>
    </w:tbl>
    <w:p/>
    <w:p>
      <w:pPr>
        <w:pStyle w:val="Heading1"/>
      </w:pPr>
      <w:r>
        <w:t>12. Risks and assumptions</w:t>
      </w:r>
    </w:p>
    <w:p>
      <w:pPr>
        <w:pStyle w:val="Heading2"/>
      </w:pPr>
      <w:r>
        <w:t>12.1 Risks</w:t>
      </w:r>
    </w:p>
    <w:tbl>
      <w:tblPr>
        <w:tblStyle w:val="LightGrid-Accent1"/>
        <w:tblW w:type="auto" w:w="0"/>
        <w:tblLayout w:type="autofit"/>
        <w:tblLook w:firstColumn="1" w:firstRow="1" w:lastColumn="0" w:lastRow="0" w:noHBand="0" w:noVBand="1" w:val="04A0"/>
      </w:tblPr>
      <w:tblGrid>
        <w:gridCol w:w="4873"/>
        <w:gridCol w:w="4873"/>
      </w:tblGrid>
      <w:tr>
        <w:tc>
          <w:tcPr>
            <w:tcW w:type="dxa" w:w="3685"/>
            <w:shd w:val="clear" w:color="auto" w:fill="1F4E78"/>
            <w:vAlign w:val="top"/>
          </w:tcPr>
          <w:p>
            <w:r/>
            <w:r>
              <w:rPr>
                <w:b/>
                <w:color w:val="FFFFFF"/>
                <w:sz w:val="20"/>
              </w:rPr>
              <w:t>Risk</w:t>
            </w:r>
          </w:p>
        </w:tc>
        <w:tc>
          <w:tcPr>
            <w:tcW w:type="dxa" w:w="5386"/>
            <w:shd w:val="clear" w:color="auto" w:fill="1F4E78"/>
            <w:vAlign w:val="top"/>
          </w:tcPr>
          <w:p>
            <w:r/>
            <w:r>
              <w:rPr>
                <w:b/>
                <w:color w:val="FFFFFF"/>
                <w:sz w:val="20"/>
              </w:rPr>
              <w:t>Mitigation</w:t>
            </w:r>
          </w:p>
        </w:tc>
      </w:tr>
      <w:tr>
        <w:tc>
          <w:tcPr>
            <w:tcW w:type="dxa" w:w="3685"/>
            <w:vAlign w:val="top"/>
          </w:tcPr>
          <w:p>
            <w:r/>
            <w:r>
              <w:rPr>
                <w:sz w:val="20"/>
              </w:rPr>
              <w:t>The intake questionnaire is not finalised in time for development.</w:t>
            </w:r>
          </w:p>
        </w:tc>
        <w:tc>
          <w:tcPr>
            <w:tcW w:type="dxa" w:w="5386"/>
            <w:vAlign w:val="top"/>
          </w:tcPr>
          <w:p>
            <w:r/>
            <w:r>
              <w:rPr>
                <w:sz w:val="20"/>
              </w:rPr>
              <w:t>Build the data layer schema-driven from the Form Designer; defer rigid field bindings; validate model in inception phase.</w:t>
            </w:r>
          </w:p>
        </w:tc>
      </w:tr>
      <w:tr>
        <w:tc>
          <w:tcPr>
            <w:tcW w:type="dxa" w:w="3685"/>
            <w:vAlign w:val="top"/>
          </w:tcPr>
          <w:p>
            <w:r/>
            <w:r>
              <w:rPr>
                <w:sz w:val="20"/>
              </w:rPr>
              <w:t>TOR specifies ASP.NET; the user has chosen Django. Procurement misalignment.</w:t>
            </w:r>
          </w:p>
        </w:tc>
        <w:tc>
          <w:tcPr>
            <w:tcW w:type="dxa" w:w="5386"/>
            <w:vAlign w:val="top"/>
          </w:tcPr>
          <w:p>
            <w:r/>
            <w:r>
              <w:rPr>
                <w:sz w:val="20"/>
              </w:rPr>
              <w:t>Issue a formal change request with rationale, risk, and cost; secure approval before development.</w:t>
            </w:r>
          </w:p>
        </w:tc>
      </w:tr>
      <w:tr>
        <w:tc>
          <w:tcPr>
            <w:tcW w:type="dxa" w:w="3685"/>
            <w:vAlign w:val="top"/>
          </w:tcPr>
          <w:p>
            <w:r/>
            <w:r>
              <w:rPr>
                <w:sz w:val="20"/>
              </w:rPr>
              <w:t>NIRA capacity for real-time NIN validation may not scale to mass enumeration.</w:t>
            </w:r>
          </w:p>
        </w:tc>
        <w:tc>
          <w:tcPr>
            <w:tcW w:type="dxa" w:w="5386"/>
            <w:vAlign w:val="top"/>
          </w:tcPr>
          <w:p>
            <w:r/>
            <w:r>
              <w:rPr>
                <w:sz w:val="20"/>
              </w:rPr>
              <w:t>Use asynchronous batch validation during peak periods; coordinate rate limits with NIRA.</w:t>
            </w:r>
          </w:p>
        </w:tc>
      </w:tr>
      <w:tr>
        <w:tc>
          <w:tcPr>
            <w:tcW w:type="dxa" w:w="3685"/>
            <w:vAlign w:val="top"/>
          </w:tcPr>
          <w:p>
            <w:r/>
            <w:r>
              <w:rPr>
                <w:sz w:val="20"/>
              </w:rPr>
              <w:t>Programme MISs vary in maturity and API readiness.</w:t>
            </w:r>
          </w:p>
        </w:tc>
        <w:tc>
          <w:tcPr>
            <w:tcW w:type="dxa" w:w="5386"/>
            <w:vAlign w:val="top"/>
          </w:tcPr>
          <w:p>
            <w:r/>
            <w:r>
              <w:rPr>
                <w:sz w:val="20"/>
              </w:rPr>
              <w:t>Phase integration; start with the most ready programmes (existing National Single Registry, SAGE); provide CSV fallback.</w:t>
            </w:r>
          </w:p>
        </w:tc>
      </w:tr>
      <w:tr>
        <w:tc>
          <w:tcPr>
            <w:tcW w:type="dxa" w:w="3685"/>
            <w:vAlign w:val="top"/>
          </w:tcPr>
          <w:p>
            <w:r/>
            <w:r>
              <w:rPr>
                <w:sz w:val="20"/>
              </w:rPr>
              <w:t>Connectivity gaps in Karamoja and other remote areas.</w:t>
            </w:r>
          </w:p>
        </w:tc>
        <w:tc>
          <w:tcPr>
            <w:tcW w:type="dxa" w:w="5386"/>
            <w:vAlign w:val="top"/>
          </w:tcPr>
          <w:p>
            <w:r/>
            <w:r>
              <w:rPr>
                <w:sz w:val="20"/>
              </w:rPr>
              <w:t>CAPI offline mode; deferred sync; mobile and pop-up registration centres.</w:t>
            </w:r>
          </w:p>
        </w:tc>
      </w:tr>
      <w:tr>
        <w:tc>
          <w:tcPr>
            <w:tcW w:type="dxa" w:w="3685"/>
            <w:vAlign w:val="top"/>
          </w:tcPr>
          <w:p>
            <w:r/>
            <w:r>
              <w:rPr>
                <w:sz w:val="20"/>
              </w:rPr>
              <w:t>Personal data breach.</w:t>
            </w:r>
          </w:p>
        </w:tc>
        <w:tc>
          <w:tcPr>
            <w:tcW w:type="dxa" w:w="5386"/>
            <w:vAlign w:val="top"/>
          </w:tcPr>
          <w:p>
            <w:r/>
            <w:r>
              <w:rPr>
                <w:sz w:val="20"/>
              </w:rPr>
              <w:t>Implement security controls from day one; train staff; rehearse incident response; insure where applicable.</w:t>
            </w:r>
          </w:p>
        </w:tc>
      </w:tr>
      <w:tr>
        <w:tc>
          <w:tcPr>
            <w:tcW w:type="dxa" w:w="3685"/>
            <w:vAlign w:val="top"/>
          </w:tcPr>
          <w:p>
            <w:r/>
            <w:r>
              <w:rPr>
                <w:sz w:val="20"/>
              </w:rPr>
              <w:t>New districts created ahead of 2026 elections affect geographic reference data.</w:t>
            </w:r>
          </w:p>
        </w:tc>
        <w:tc>
          <w:tcPr>
            <w:tcW w:type="dxa" w:w="5386"/>
            <w:vAlign w:val="top"/>
          </w:tcPr>
          <w:p>
            <w:r/>
            <w:r>
              <w:rPr>
                <w:sz w:val="20"/>
              </w:rPr>
              <w:t>Versioned reference data with effective dates and a re-coding tool.</w:t>
            </w:r>
          </w:p>
        </w:tc>
      </w:tr>
    </w:tbl>
    <w:p/>
    <w:p>
      <w:pPr>
        <w:pStyle w:val="Heading2"/>
      </w:pPr>
      <w:r>
        <w:t>12.2 Assumptions</w:t>
      </w:r>
    </w:p>
    <w:p>
      <w:pPr>
        <w:pStyle w:val="ListBullet"/>
        <w:spacing w:after="40"/>
      </w:pPr>
      <w:r>
        <w:t>MGLSD will resource the NSR Unit per the staffing plan in the Framework.</w:t>
      </w:r>
    </w:p>
    <w:p>
      <w:pPr>
        <w:pStyle w:val="ListBullet"/>
        <w:spacing w:after="40"/>
      </w:pPr>
      <w:r>
        <w:t>NITA-U will provide DR hosting and continued security support.</w:t>
      </w:r>
    </w:p>
    <w:p>
      <w:pPr>
        <w:pStyle w:val="ListBullet"/>
        <w:spacing w:after="40"/>
      </w:pPr>
      <w:r>
        <w:t>Programme MISs will adopt the harmonised data dictionary set by the DWG.</w:t>
      </w:r>
    </w:p>
    <w:p>
      <w:pPr>
        <w:pStyle w:val="ListBullet"/>
        <w:spacing w:after="40"/>
      </w:pPr>
      <w:r>
        <w:t>Data-sharing agreements will be in place with each consumer before extracts are released.</w:t>
      </w:r>
    </w:p>
    <w:p>
      <w:pPr>
        <w:pStyle w:val="Heading1"/>
      </w:pPr>
      <w:r>
        <w:t>13. Next steps</w:t>
      </w:r>
    </w:p>
    <w:p>
      <w:pPr>
        <w:pStyle w:val="ListNumber"/>
        <w:spacing w:after="40"/>
      </w:pPr>
      <w:r>
        <w:t>Validate this requirements document with the Data Working Group and the NSR Unit.</w:t>
      </w:r>
    </w:p>
    <w:p>
      <w:pPr>
        <w:pStyle w:val="ListNumber"/>
        <w:spacing w:after="40"/>
      </w:pPr>
      <w:r>
        <w:t>Finalise the intake questionnaire instrument (UBOS-MGLSD) and reconcile it against the indicative data model in section 4.</w:t>
      </w:r>
    </w:p>
    <w:p>
      <w:pPr>
        <w:pStyle w:val="ListNumber"/>
        <w:spacing w:after="40"/>
      </w:pPr>
      <w:r>
        <w:t>Issue the TOR change request to formalise the Django stack decision.</w:t>
      </w:r>
    </w:p>
    <w:p>
      <w:pPr>
        <w:pStyle w:val="ListNumber"/>
        <w:spacing w:after="40"/>
      </w:pPr>
      <w:r>
        <w:t>Confirm the PMT model version 1 specification (variables, weights, intercept) with UBOS.</w:t>
      </w:r>
    </w:p>
    <w:p>
      <w:pPr>
        <w:pStyle w:val="ListNumber"/>
        <w:spacing w:after="40"/>
      </w:pPr>
      <w:r>
        <w:t>Sign data-sharing agreements with NIRA, UBOS, OPM, NSSF, MoH, MoES, MAAIF, and each programme MIS owner.</w:t>
      </w:r>
    </w:p>
    <w:p>
      <w:pPr>
        <w:pStyle w:val="ListNumber"/>
        <w:spacing w:after="40"/>
      </w:pPr>
      <w:r>
        <w:t>Approve the rollout timeline against the TOR dates.</w:t>
      </w:r>
    </w:p>
    <w:p>
      <w:pPr>
        <w:pStyle w:val="ListNumber"/>
        <w:spacing w:after="40"/>
      </w:pPr>
      <w:r>
        <w:t>Kick off Inception with the development team to lock the System Design Document.</w:t>
      </w:r>
    </w:p>
    <w:p>
      <w:pPr>
        <w:pStyle w:val="Heading1"/>
      </w:pPr>
      <w:r>
        <w:t>Annex A. User story backlog</w:t>
      </w:r>
    </w:p>
    <w:p>
      <w:pPr>
        <w:spacing w:after="120"/>
      </w:pPr>
      <w:r>
        <w:t>The complete user story backlog (74 stories across 13 epics) is maintained in the companion workbook 'NSR_MIS_User_Story_Backlog.xlsx', which has a Backlog sheet, an Epics summary, and a Legend.</w:t>
      </w:r>
    </w:p>
    <w:p>
      <w:pPr>
        <w:pStyle w:val="Heading1"/>
      </w:pPr>
      <w:r>
        <w:t>Annex B. TOR vs Django mapping (technology decisions)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835"/>
            <w:shd w:val="clear" w:color="auto" w:fill="1F4E78"/>
            <w:vAlign w:val="top"/>
          </w:tcPr>
          <w:p>
            <w:r/>
            <w:r>
              <w:rPr>
                <w:b/>
                <w:color w:val="FFFFFF"/>
                <w:sz w:val="20"/>
              </w:rPr>
              <w:t>TOR specification</w:t>
            </w:r>
          </w:p>
        </w:tc>
        <w:tc>
          <w:tcPr>
            <w:tcW w:type="dxa" w:w="2835"/>
            <w:shd w:val="clear" w:color="auto" w:fill="1F4E78"/>
            <w:vAlign w:val="top"/>
          </w:tcPr>
          <w:p>
            <w:r/>
            <w:r>
              <w:rPr>
                <w:b/>
                <w:color w:val="FFFFFF"/>
                <w:sz w:val="20"/>
              </w:rPr>
              <w:t>Proposed (Django stack)</w:t>
            </w:r>
          </w:p>
        </w:tc>
        <w:tc>
          <w:tcPr>
            <w:tcW w:type="dxa" w:w="3402"/>
            <w:shd w:val="clear" w:color="auto" w:fill="1F4E78"/>
            <w:vAlign w:val="top"/>
          </w:tcPr>
          <w:p>
            <w:r/>
            <w:r>
              <w:rPr>
                <w:b/>
                <w:color w:val="FFFFFF"/>
                <w:sz w:val="20"/>
              </w:rPr>
              <w:t>Rationale</w:t>
            </w:r>
          </w:p>
        </w:tc>
      </w:tr>
      <w:tr>
        <w:tc>
          <w:tcPr>
            <w:tcW w:type="dxa" w:w="2835"/>
            <w:vAlign w:val="top"/>
          </w:tcPr>
          <w:p>
            <w:r/>
            <w:r>
              <w:rPr>
                <w:sz w:val="20"/>
              </w:rPr>
              <w:t>ASP.NET</w:t>
            </w:r>
          </w:p>
        </w:tc>
        <w:tc>
          <w:tcPr>
            <w:tcW w:type="dxa" w:w="2835"/>
            <w:vAlign w:val="top"/>
          </w:tcPr>
          <w:p>
            <w:r/>
            <w:r>
              <w:rPr>
                <w:sz w:val="20"/>
              </w:rPr>
              <w:t>Django 5 LTS (Python 3.12+)</w:t>
            </w:r>
          </w:p>
        </w:tc>
        <w:tc>
          <w:tcPr>
            <w:tcW w:type="dxa" w:w="3402"/>
            <w:vAlign w:val="top"/>
          </w:tcPr>
          <w:p>
            <w:r/>
            <w:r>
              <w:rPr>
                <w:sz w:val="20"/>
              </w:rPr>
              <w:t>Aligns with existing MGLSD program MISs (OVC, DMIS, ICOLEEW, Women Entrepreneurship, JUA KALI) per Rapid Assessment 2023.</w:t>
            </w:r>
          </w:p>
        </w:tc>
      </w:tr>
      <w:tr>
        <w:tc>
          <w:tcPr>
            <w:tcW w:type="dxa" w:w="2835"/>
            <w:vAlign w:val="top"/>
          </w:tcPr>
          <w:p>
            <w:r/>
            <w:r>
              <w:rPr>
                <w:sz w:val="20"/>
              </w:rPr>
              <w:t>C#</w:t>
            </w:r>
          </w:p>
        </w:tc>
        <w:tc>
          <w:tcPr>
            <w:tcW w:type="dxa" w:w="2835"/>
            <w:vAlign w:val="top"/>
          </w:tcPr>
          <w:p>
            <w:r/>
            <w:r>
              <w:rPr>
                <w:sz w:val="20"/>
              </w:rPr>
              <w:t>Python</w:t>
            </w:r>
          </w:p>
        </w:tc>
        <w:tc>
          <w:tcPr>
            <w:tcW w:type="dxa" w:w="3402"/>
            <w:vAlign w:val="top"/>
          </w:tcPr>
          <w:p>
            <w:r/>
            <w:r>
              <w:rPr>
                <w:sz w:val="20"/>
              </w:rPr>
              <w:t>Strong in-house Python/Django experience across MGLSD program MIS teams.</w:t>
            </w:r>
          </w:p>
        </w:tc>
      </w:tr>
      <w:tr>
        <w:tc>
          <w:tcPr>
            <w:tcW w:type="dxa" w:w="2835"/>
            <w:vAlign w:val="top"/>
          </w:tcPr>
          <w:p>
            <w:r/>
            <w:r>
              <w:rPr>
                <w:sz w:val="20"/>
              </w:rPr>
              <w:t>MS SQL Server 2017</w:t>
            </w:r>
          </w:p>
        </w:tc>
        <w:tc>
          <w:tcPr>
            <w:tcW w:type="dxa" w:w="2835"/>
            <w:vAlign w:val="top"/>
          </w:tcPr>
          <w:p>
            <w:r/>
            <w:r>
              <w:rPr>
                <w:sz w:val="20"/>
              </w:rPr>
              <w:t>PostgreSQL 16</w:t>
            </w:r>
          </w:p>
        </w:tc>
        <w:tc>
          <w:tcPr>
            <w:tcW w:type="dxa" w:w="3402"/>
            <w:vAlign w:val="top"/>
          </w:tcPr>
          <w:p>
            <w:r/>
            <w:r>
              <w:rPr>
                <w:sz w:val="20"/>
              </w:rPr>
              <w:t>Open source; mature spatial extensions (PostGIS); strong replication; lower licensing cost.</w:t>
            </w:r>
          </w:p>
        </w:tc>
      </w:tr>
      <w:tr>
        <w:tc>
          <w:tcPr>
            <w:tcW w:type="dxa" w:w="2835"/>
            <w:vAlign w:val="top"/>
          </w:tcPr>
          <w:p>
            <w:r/>
            <w:r>
              <w:rPr>
                <w:sz w:val="20"/>
              </w:rPr>
              <w:t>IIS web servers + Windows Server</w:t>
            </w:r>
          </w:p>
        </w:tc>
        <w:tc>
          <w:tcPr>
            <w:tcW w:type="dxa" w:w="2835"/>
            <w:vAlign w:val="top"/>
          </w:tcPr>
          <w:p>
            <w:r/>
            <w:r>
              <w:rPr>
                <w:sz w:val="20"/>
              </w:rPr>
              <w:t>Nginx + Gunicorn on Linux</w:t>
            </w:r>
          </w:p>
        </w:tc>
        <w:tc>
          <w:tcPr>
            <w:tcW w:type="dxa" w:w="3402"/>
            <w:vAlign w:val="top"/>
          </w:tcPr>
          <w:p>
            <w:r/>
            <w:r>
              <w:rPr>
                <w:sz w:val="20"/>
              </w:rPr>
              <w:t>Open source; consistent with NITA-U cloud and existing MGLSD program MIS deployments.</w:t>
            </w:r>
          </w:p>
        </w:tc>
      </w:tr>
      <w:tr>
        <w:tc>
          <w:tcPr>
            <w:tcW w:type="dxa" w:w="2835"/>
            <w:vAlign w:val="top"/>
          </w:tcPr>
          <w:p>
            <w:r/>
            <w:r>
              <w:rPr>
                <w:sz w:val="20"/>
              </w:rPr>
              <w:t>Highcharts</w:t>
            </w:r>
          </w:p>
        </w:tc>
        <w:tc>
          <w:tcPr>
            <w:tcW w:type="dxa" w:w="2835"/>
            <w:vAlign w:val="top"/>
          </w:tcPr>
          <w:p>
            <w:r/>
            <w:r>
              <w:rPr>
                <w:sz w:val="20"/>
              </w:rPr>
              <w:t>Plotly or Chart.js + Grafana for ops</w:t>
            </w:r>
          </w:p>
        </w:tc>
        <w:tc>
          <w:tcPr>
            <w:tcW w:type="dxa" w:w="3402"/>
            <w:vAlign w:val="top"/>
          </w:tcPr>
          <w:p>
            <w:r/>
            <w:r>
              <w:rPr>
                <w:sz w:val="20"/>
              </w:rPr>
              <w:t>Open source; embeddable in Django templates and admin dashboards.</w:t>
            </w:r>
          </w:p>
        </w:tc>
      </w:tr>
      <w:tr>
        <w:tc>
          <w:tcPr>
            <w:tcW w:type="dxa" w:w="2835"/>
            <w:vAlign w:val="top"/>
          </w:tcPr>
          <w:p>
            <w:r/>
            <w:r>
              <w:rPr>
                <w:sz w:val="20"/>
              </w:rPr>
              <w:t>Trello (QA)</w:t>
            </w:r>
          </w:p>
        </w:tc>
        <w:tc>
          <w:tcPr>
            <w:tcW w:type="dxa" w:w="2835"/>
            <w:vAlign w:val="top"/>
          </w:tcPr>
          <w:p>
            <w:r/>
            <w:r>
              <w:rPr>
                <w:sz w:val="20"/>
              </w:rPr>
              <w:t>GitHub/GitLab Issues + Linear/Jira</w:t>
            </w:r>
          </w:p>
        </w:tc>
        <w:tc>
          <w:tcPr>
            <w:tcW w:type="dxa" w:w="3402"/>
            <w:vAlign w:val="top"/>
          </w:tcPr>
          <w:p>
            <w:r/>
            <w:r>
              <w:rPr>
                <w:sz w:val="20"/>
              </w:rPr>
              <w:t>Better CI/CD integration.</w:t>
            </w:r>
          </w:p>
        </w:tc>
      </w:tr>
      <w:tr>
        <w:tc>
          <w:tcPr>
            <w:tcW w:type="dxa" w:w="2835"/>
            <w:vAlign w:val="top"/>
          </w:tcPr>
          <w:p>
            <w:r/>
            <w:r>
              <w:rPr>
                <w:sz w:val="20"/>
              </w:rPr>
              <w:t>Git on Bitbucket/GitHub</w:t>
            </w:r>
          </w:p>
        </w:tc>
        <w:tc>
          <w:tcPr>
            <w:tcW w:type="dxa" w:w="2835"/>
            <w:vAlign w:val="top"/>
          </w:tcPr>
          <w:p>
            <w:r/>
            <w:r>
              <w:rPr>
                <w:sz w:val="20"/>
              </w:rPr>
              <w:t>Git on the chosen forge</w:t>
            </w:r>
          </w:p>
        </w:tc>
        <w:tc>
          <w:tcPr>
            <w:tcW w:type="dxa" w:w="3402"/>
            <w:vAlign w:val="top"/>
          </w:tcPr>
          <w:p>
            <w:r/>
            <w:r>
              <w:rPr>
                <w:sz w:val="20"/>
              </w:rPr>
              <w:t>Consistent.</w:t>
            </w:r>
          </w:p>
        </w:tc>
      </w:tr>
    </w:tbl>
    <w:p/>
    <w:p>
      <w:pPr>
        <w:pStyle w:val="Heading1"/>
      </w:pPr>
      <w:r>
        <w:t>Annex C. Reference sources</w:t>
      </w:r>
    </w:p>
    <w:p>
      <w:pPr>
        <w:pStyle w:val="ListBullet"/>
        <w:spacing w:after="40"/>
      </w:pPr>
      <w:r>
        <w:t>NSR MIS.docx (MGLSD, 2025).</w:t>
      </w:r>
    </w:p>
    <w:p>
      <w:pPr>
        <w:pStyle w:val="ListBullet"/>
        <w:spacing w:after="40"/>
      </w:pPr>
      <w:r>
        <w:t>Framework for Implementing the NSR (2026), MGLSD.</w:t>
      </w:r>
    </w:p>
    <w:p>
      <w:pPr>
        <w:pStyle w:val="ListBullet"/>
        <w:spacing w:after="40"/>
      </w:pPr>
      <w:r>
        <w:t>Framework for Implementing the NSR (revised), MGLSD, 2025.</w:t>
      </w:r>
    </w:p>
    <w:p>
      <w:pPr>
        <w:pStyle w:val="ListBullet"/>
        <w:spacing w:after="40"/>
      </w:pPr>
      <w:r>
        <w:t>NSR Concept Note Revised After DWG Meeting, MGLSD, 2025.</w:t>
      </w:r>
    </w:p>
    <w:p>
      <w:pPr>
        <w:pStyle w:val="ListBullet"/>
        <w:spacing w:after="40"/>
      </w:pPr>
      <w:r>
        <w:t>NSR Stakeholders - revised, MGLSD, 2025.</w:t>
      </w:r>
    </w:p>
    <w:p>
      <w:pPr>
        <w:pStyle w:val="ListBullet"/>
        <w:spacing w:after="40"/>
      </w:pPr>
      <w:r>
        <w:t>Policy Brief: Uganda's National Social Registry, MGLSD.</w:t>
      </w:r>
    </w:p>
    <w:p>
      <w:pPr>
        <w:pStyle w:val="ListBullet"/>
        <w:spacing w:after="40"/>
      </w:pPr>
      <w:r>
        <w:t>TOR NSR MIS, MGLSD, 2025.</w:t>
      </w:r>
    </w:p>
    <w:p>
      <w:pPr>
        <w:pStyle w:val="ListBullet"/>
        <w:spacing w:after="40"/>
      </w:pPr>
      <w:r>
        <w:t>NSR Data Collection Strategy, MGLSD, 2025.</w:t>
      </w:r>
    </w:p>
    <w:p>
      <w:pPr>
        <w:pStyle w:val="ListBullet"/>
        <w:spacing w:after="40"/>
      </w:pPr>
      <w:r>
        <w:t>Rapid Assessment of Hardware and Software Infrastructure of Key Components of Single Registry, Castro, 2023.</w:t>
      </w:r>
    </w:p>
    <w:p>
      <w:pPr>
        <w:pStyle w:val="ListBullet"/>
        <w:spacing w:after="40"/>
      </w:pPr>
      <w:r>
        <w:t>openIMIS Functional Requirements for Social Registry, capability area pages (Data Management, Intake, Eligibility, Updates, Reporting, Interoperability, Security, UI).</w:t>
      </w:r>
    </w:p>
    <w:p>
      <w:pPr>
        <w:pStyle w:val="ListBullet"/>
        <w:spacing w:after="40"/>
      </w:pPr>
      <w:r>
        <w:t>Uganda Bureau of Statistics, administrative units profile.</w:t>
      </w:r>
    </w:p>
    <w:p>
      <w:pPr>
        <w:pStyle w:val="ListBullet"/>
        <w:spacing w:after="40"/>
      </w:pPr>
      <w:r>
        <w:t>Local Government Act of Uganda (as amended).</w:t>
      </w:r>
    </w:p>
    <w:p>
      <w:pPr>
        <w:pStyle w:val="ListBullet"/>
        <w:spacing w:after="40"/>
      </w:pPr>
      <w:r>
        <w:t>Data Protection and Privacy Act,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