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b w:val="1"/>
          <w:rtl w:val="0"/>
        </w:rPr>
        <w:t xml:space="preserve">Sampling Plan 04/18/18</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i w:val="1"/>
        </w:rPr>
      </w:pPr>
      <w:r w:rsidDel="00000000" w:rsidR="00000000" w:rsidRPr="00000000">
        <w:rPr>
          <w:b w:val="1"/>
          <w:i w:val="1"/>
          <w:rtl w:val="0"/>
        </w:rPr>
        <w:t xml:space="preserve">Overview and Explanation</w:t>
      </w:r>
    </w:p>
    <w:p w:rsidR="00000000" w:rsidDel="00000000" w:rsidP="00000000" w:rsidRDefault="00000000" w:rsidRPr="00000000" w14:paraId="00000003">
      <w:pPr>
        <w:contextualSpacing w:val="0"/>
        <w:rPr/>
      </w:pPr>
      <w:r w:rsidDel="00000000" w:rsidR="00000000" w:rsidRPr="00000000">
        <w:rPr>
          <w:rtl w:val="0"/>
        </w:rPr>
        <w:t xml:space="preserve">Sample labels are from the WLD experiments; see </w:t>
      </w:r>
      <w:hyperlink r:id="rId6">
        <w:r w:rsidDel="00000000" w:rsidR="00000000" w:rsidRPr="00000000">
          <w:rPr>
            <w:color w:val="1155cc"/>
            <w:u w:val="single"/>
            <w:rtl w:val="0"/>
          </w:rPr>
          <w:t xml:space="preserve">this page</w:t>
        </w:r>
      </w:hyperlink>
      <w:r w:rsidDel="00000000" w:rsidR="00000000" w:rsidRPr="00000000">
        <w:rPr>
          <w:rtl w:val="0"/>
        </w:rPr>
        <w:t xml:space="preserve"> for the sample ID to sample location key.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i w:val="1"/>
          <w:rtl w:val="0"/>
        </w:rPr>
        <w:t xml:space="preserve">Update</w:t>
      </w:r>
      <w:r w:rsidDel="00000000" w:rsidR="00000000" w:rsidRPr="00000000">
        <w:rPr>
          <w:rtl w:val="0"/>
        </w:rPr>
        <w:t xml:space="preserve">: samples are labeled according to vertical position above bed in cm (5, 14, 27), followed by upstream (U) or downstream (D) location with respect to the test section, followed by series number (1, 2, … 14) which corresponds to the 5-minute interval when the samples were taken.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i w:val="1"/>
        </w:rPr>
      </w:pPr>
      <w:r w:rsidDel="00000000" w:rsidR="00000000" w:rsidRPr="00000000">
        <w:rPr>
          <w:b w:val="1"/>
          <w:i w:val="1"/>
          <w:rtl w:val="0"/>
        </w:rPr>
        <w:t xml:space="preserve">Sample depths and locations</w:t>
      </w:r>
    </w:p>
    <w:p w:rsidR="00000000" w:rsidDel="00000000" w:rsidP="00000000" w:rsidRDefault="00000000" w:rsidRPr="00000000" w14:paraId="00000008">
      <w:pPr>
        <w:contextualSpacing w:val="0"/>
        <w:rPr/>
      </w:pPr>
      <w:r w:rsidDel="00000000" w:rsidR="00000000" w:rsidRPr="00000000">
        <w:rPr>
          <w:rtl w:val="0"/>
        </w:rPr>
        <w:t xml:space="preserve">The sampling setup will employ two peristaltic pumps - one each collecting at the upstream and downstream ends of the test section. The edge of the test section is defined as where the bed surface first drops downward. Samples will be collected in the center of the flume at depths of 5 cm, 14 cm, and 27 cm above the bed surface.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i w:val="1"/>
        </w:rPr>
      </w:pPr>
      <w:r w:rsidDel="00000000" w:rsidR="00000000" w:rsidRPr="00000000">
        <w:rPr>
          <w:b w:val="1"/>
          <w:i w:val="1"/>
          <w:rtl w:val="0"/>
        </w:rPr>
        <w:t xml:space="preserve">Sampling frequency and duration</w:t>
      </w:r>
    </w:p>
    <w:p w:rsidR="00000000" w:rsidDel="00000000" w:rsidP="00000000" w:rsidRDefault="00000000" w:rsidRPr="00000000" w14:paraId="0000000B">
      <w:pPr>
        <w:contextualSpacing w:val="0"/>
        <w:rPr/>
      </w:pPr>
      <w:r w:rsidDel="00000000" w:rsidR="00000000" w:rsidRPr="00000000">
        <w:rPr>
          <w:rtl w:val="0"/>
        </w:rPr>
        <w:t xml:space="preserve">Samples will be collected in 125 mL Nalgene bottles at intervals of 5 minutes.  Flow rates of the pumps should be pre-calibrated to 50 mL/min.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Acquiring pump samples at this frequency is achievable with 1 person but more comfortable with two people.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_V4tcwvWRQOZSJCkzGPVfZoaz5Ro9Crnd1bn8nHgq2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