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11/15 conference call: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-overall scope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-community meeting 11/18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-Vanessa is facilitating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-map of sample 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-AQ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-maximum value raster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-animation of values over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-non-neglible computational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-UC co-operative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-avoid false alarm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-don't gloss over actual impacts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-if we present a "worst-case", make sure to clarify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-use averages?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-other toxins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-lead levels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-Ozone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-NO2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-updates: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-we have a quote from a lab for sample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-budget: $20,000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-GFI cronies invited submissions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-goal: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-get samples into lab before holidays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-satellites: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-GOES 16 (NOAA)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-other NOAA satellites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-formulaic data for fire extent or smoke monitoring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