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15D169EB"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258B5">
        <w:instrText xml:space="preserve"> ADDIN ZOTERO_ITEM CSL_CITATION {"citationID":"KWEQJoEN","properties":{"formattedCitation":"(Schmidt and Lee, 2005)","plainCitation":"(Schmidt and Lee, 2005)","noteIndex":0},"citationItems":[{"id":"oyfatZRQ/hRRij9L6","uris":["http://zotero.org/users/5226272/items/NI6BRC48"],"uri":["http://zotero.org/users/5226272/items/NI6BRC48"],"itemData":{"id":1855,"type":"book","abstract":"Most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258B5">
        <w:instrText xml:space="preserve"> ADDIN ZOTERO_ITEM CSL_CITATION {"citationID":"xnOD68Jv","properties":{"formattedCitation":"(Mawase et al., 2018; Wong et al., 2017)","plainCitation":"(Mawase et al., 2018; Wong et al., 2017)","noteIndex":0},"citationItems":[{"id":"oyfatZRQ/pKloYCCM","uris":["http://zotero.org/users/5226272/items/CS6MUU7L"],"uri":["http://zotero.org/users/5226272/items/CS6MUU7L"],"itemData":{"id":1805,"type":"article-journal","abstract":"Our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M."}],"issued":{"date-parts":[["2018",7]]}}},{"id":"oyfatZRQ/f3USnNQ4","uris":["http://zotero.org/users/5226272/items/NVN32TU2"],"uri":["http://zotero.org/users/5226272/items/NVN32TU2"],"itemData":{"id":1367,"type":"article-journal","abstract":"Reaction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258B5">
        <w:instrText xml:space="preserve"> ADDIN ZOTERO_ITEM CSL_CITATION {"citationID":"JVZfXeaT","properties":{"formattedCitation":"(Hammerbeck et al., 2014)","plainCitation":"(Hammerbeck et al., 2014)","noteIndex":0},"citationItems":[{"id":"oyfatZRQ/18rFiXMK","uris":["http://zotero.org/users/5226272/items/WMZCZSLU"],"uri":["http://zotero.org/users/5226272/items/WMZCZSLU"],"itemData":{"id":1432,"type":"article-journal","abstract":"How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w:t>
      </w:r>
      <w:commentRangeStart w:id="0"/>
      <w:r w:rsidR="000434DC">
        <w:t xml:space="preserve">and biases future movements in the direction of the repeated movements. </w:t>
      </w:r>
      <w:commentRangeEnd w:id="0"/>
      <w:r w:rsidR="006C28D7">
        <w:rPr>
          <w:rStyle w:val="CommentReference"/>
        </w:rPr>
        <w:commentReference w:id="0"/>
      </w:r>
      <w:commentRangeStart w:id="1"/>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commentRangeEnd w:id="1"/>
      <w:r w:rsidR="00F85A8B">
        <w:rPr>
          <w:rStyle w:val="CommentReference"/>
        </w:rPr>
        <w:commentReference w:id="1"/>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3FB36435"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258B5">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2011)","noteIndex":0},"citationItems":[{"id":"oyfatZRQ/o8bc2FUZ","uris":["http://zotero.org/users/5226272/items/KR9ISDEJ"],"uri":["http://zotero.org/users/5226272/items/KR9ISDEJ"],"itemData":{"id":425,"type":"article-journal","container-title":"Journal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G."}],"issued":{"date-parts":[["1998",2]]}}},{"id":"oyfatZRQ/K0YHkse5","uris":["http://zotero.org/users/5226272/items/CGQM3V6N"],"uri":["http://zotero.org/users/5226272/items/CGQM3V6N"],"itemData":{"id":264,"type":"article-journal","container-title":"Journal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oyfatZRQ/AkMdmkzv","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oyfatZRQ/Be07o3Gq","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76711331"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258B5">
        <w:instrText xml:space="preserve"> ADDIN ZOTERO_ITEM CSL_CITATION {"citationID":"XEhjoJNA","properties":{"formattedCitation":"(Wood et al., 2020)","plainCitation":"(Wood et al., 2020)","noteIndex":0},"citationItems":[{"id":"oyfatZRQ/txAOx9H9","uris":["http://zotero.org/users/5226272/items/9YRCDLCG"],"uri":["http://zotero.org/users/5226272/items/9YRCDLCG"],"itemData":{"id":1860,"type":"article-journal","abstract":"Studies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258B5">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2020)","dontUpdate":true,"noteIndex":0},"citationItems":[{"id":"oyfatZRQ/ZhXzpsJY","uris":["http://zotero.org/users/5226272/items/8T7S9JZC"],"uri":["http://zotero.org/users/5226272/items/8T7S9JZC"],"itemData":{"id":90,"type":"article-journal","abstract":"Background.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J."}],"issued":{"date-parts":[["2018",9]]}}},{"id":"oyfatZRQ/8x7P4kGi","uris":["http://zotero.org/users/5226272/items/Z9JRGFSD"],"uri":["http://zotero.org/users/5226272/items/Z9JRGFSD"],"itemData":{"id":234,"type":"article-journal","container-title":"Journal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S."}],"issued":{"date-parts":[["2018",10]]}}},{"id":"oyfatZRQ/qaAFbtvH","uris":["http://zotero.org/users/5226272/items/XMHBAFXC"],"uri":["http://zotero.org/users/5226272/items/XMHBAFXC"],"itemData":{"id":973,"type":"article-journal","container-title":"Journal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M."}],"issued":{"date-parts":[["2013",8,15]]}}},{"id":"oyfatZRQ/ZWYoYAMG","uris":["http://zotero.org/users/5226272/items/P7PH9INR"],"uri":["http://zotero.org/users/5226272/items/P7PH9INR"],"itemData":{"id":641,"type":"article-journal","abstract":"Gait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Igo"}],"issued":{"date-parts":[["2012",5]]}}},{"id":"oyfatZRQ/ZCuBk0aN","uris":["http://zotero.org/users/5226272/items/BP83XEIQ"],"uri":["http://zotero.org/users/5226272/items/BP83XEIQ"],"itemData":{"id":639,"type":"article-journal","abstract":"Background: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oyfatZRQ/fE2vdTVk","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J."}],"issued":{"date-parts":[["2016",5,1]]}}},{"id":"oyfatZRQ/txAOx9H9","uris":["http://zotero.org/users/5226272/items/9YRCDLCG"],"uri":["http://zotero.org/users/5226272/items/9YRCDLCG"],"itemData":{"id":1860,"type":"article-journal","abstract":"Studies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this </w:t>
      </w:r>
      <w:r w:rsidR="00E45977">
        <w:lastRenderedPageBreak/>
        <w:t>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movement is </w:t>
      </w:r>
      <w:r w:rsidR="003868B7">
        <w:t xml:space="preserve">intrinsically </w:t>
      </w:r>
      <w:r w:rsidR="00657265">
        <w:t>variable</w:t>
      </w:r>
      <w:r w:rsidR="008B0D47">
        <w:t>,</w:t>
      </w:r>
      <w:r w:rsidR="00657265">
        <w:t xml:space="preserve"> a</w:t>
      </w:r>
      <w:r w:rsidR="008A5A99">
        <w:t xml:space="preserve"> critical</w:t>
      </w:r>
      <w:r w:rsidR="00E45977">
        <w:t xml:space="preserve"> </w:t>
      </w:r>
      <w:r w:rsidR="008B0D47">
        <w:t xml:space="preserve">question </w:t>
      </w:r>
      <w:r w:rsidR="003868B7">
        <w:t>remains unanswered: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3DC05590"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commentRangeStart w:id="2"/>
      <w:r>
        <w:t xml:space="preserve">We first provide two distinct computational </w:t>
      </w:r>
      <w:ins w:id="3" w:author="Hyosub Kim" w:date="2020-05-30T13:50:00Z">
        <w:r w:rsidR="00F85A8B">
          <w:t>models (</w:t>
        </w:r>
      </w:ins>
      <w:r w:rsidR="00F43603">
        <w:t>hypotheses</w:t>
      </w:r>
      <w:ins w:id="4" w:author="Hyosub Kim" w:date="2020-05-30T13:50:00Z">
        <w:r w:rsidR="00F85A8B">
          <w:t>)</w:t>
        </w:r>
      </w:ins>
      <w:r w:rsidR="00F43603">
        <w:t xml:space="preserve"> </w:t>
      </w:r>
      <w:r>
        <w:t xml:space="preserve">of how </w:t>
      </w:r>
      <w:r w:rsidR="000B6FC3">
        <w:t xml:space="preserve">use-dependent learning </w:t>
      </w:r>
      <w:r w:rsidR="002867D9">
        <w:t xml:space="preserve">may </w:t>
      </w:r>
      <w:r>
        <w:t>arise</w:t>
      </w:r>
      <w:r w:rsidR="00A94B48">
        <w:t xml:space="preserve">. In </w:t>
      </w:r>
      <w:ins w:id="5" w:author="Hyosub Kim" w:date="2020-05-30T13:50:00Z">
        <w:r w:rsidR="00F85A8B">
          <w:t xml:space="preserve">Model 1, </w:t>
        </w:r>
      </w:ins>
      <w:r w:rsidR="002867D9">
        <w:t xml:space="preserve">the </w:t>
      </w:r>
      <w:r w:rsidR="00B85A88">
        <w:t xml:space="preserve">Adaptive </w:t>
      </w:r>
      <w:r>
        <w:t>Bayesian model</w:t>
      </w:r>
      <w:r w:rsidR="00A94B48">
        <w:t xml:space="preserve">, </w:t>
      </w:r>
      <w:commentRangeEnd w:id="2"/>
      <w:r w:rsidR="00F85A8B">
        <w:rPr>
          <w:rStyle w:val="CommentReference"/>
        </w:rPr>
        <w:commentReference w:id="2"/>
      </w:r>
      <w:r w:rsidR="00A94B48">
        <w:t xml:space="preserve">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3868B7">
        <w:t xml:space="preserve">of </w:t>
      </w:r>
      <w:r w:rsidR="00713B83">
        <w:t>combin</w:t>
      </w:r>
      <w:r w:rsidR="003868B7">
        <w:t>ing</w:t>
      </w:r>
      <w:r w:rsidR="00713B83">
        <w:t xml:space="preserve"> </w:t>
      </w:r>
      <w:r w:rsidR="00A94B48">
        <w:t xml:space="preserve">quickly adapting prior probabilities of target (step) locations with current sensory estimates of where to step. </w:t>
      </w:r>
      <w:r w:rsidR="007C3D1D">
        <w:t>Thus, the magnitude of use-dependent bias</w:t>
      </w:r>
      <w:r w:rsidR="003868B7">
        <w:t>es</w:t>
      </w:r>
      <w:r w:rsidR="007C3D1D">
        <w:t xml:space="preserve"> </w:t>
      </w:r>
      <w:proofErr w:type="gramStart"/>
      <w:r w:rsidR="003868B7">
        <w:t>are</w:t>
      </w:r>
      <w:proofErr w:type="gramEnd"/>
      <w:r w:rsidR="003868B7">
        <w:t xml:space="preserve"> </w:t>
      </w:r>
      <w:r w:rsidR="007C3D1D">
        <w:t xml:space="preserve">directly related to the consistency of the environment, or target locations. </w:t>
      </w:r>
      <w:del w:id="6" w:author="Hyosub Kim" w:date="2020-05-30T13:51:00Z">
        <w:r w:rsidR="007C3D1D" w:rsidDel="00F85A8B">
          <w:delText>Our second model</w:delText>
        </w:r>
      </w:del>
      <w:ins w:id="7" w:author="Hyosub Kim" w:date="2020-05-30T13:51:00Z">
        <w:r w:rsidR="00F85A8B">
          <w:t>In Model 2, the Stra</w:t>
        </w:r>
      </w:ins>
      <w:ins w:id="8" w:author="Hyosub Kim" w:date="2020-05-30T13:52:00Z">
        <w:r w:rsidR="00F85A8B">
          <w:t>tegy plus Use-Dependent model,</w:t>
        </w:r>
      </w:ins>
      <w:ins w:id="9" w:author="Hyosub Kim" w:date="2020-05-30T13:51:00Z">
        <w:r w:rsidR="00F85A8B">
          <w:t xml:space="preserve"> </w:t>
        </w:r>
      </w:ins>
      <w:del w:id="10" w:author="Hyosub Kim" w:date="2020-05-30T13:52:00Z">
        <w:r w:rsidR="007C3D1D" w:rsidDel="00F85A8B">
          <w:delText xml:space="preserve"> involves</w:delText>
        </w:r>
        <w:r w:rsidR="00A94B48" w:rsidDel="00F85A8B">
          <w:delText xml:space="preserve"> </w:delText>
        </w:r>
      </w:del>
      <w:r w:rsidR="007C3D1D">
        <w:t xml:space="preserve">two </w:t>
      </w:r>
      <w:ins w:id="11" w:author="Hyosub Kim" w:date="2020-05-30T13:52:00Z">
        <w:r w:rsidR="00F85A8B">
          <w:t xml:space="preserve">learning </w:t>
        </w:r>
      </w:ins>
      <w:r w:rsidR="007C3D1D">
        <w:t>processes act</w:t>
      </w:r>
      <w:del w:id="12" w:author="Hyosub Kim" w:date="2020-05-30T13:52:00Z">
        <w:r w:rsidR="007C3D1D" w:rsidDel="00F85A8B">
          <w:delText>ing</w:delText>
        </w:r>
      </w:del>
      <w:r w:rsidR="007C3D1D">
        <w:t xml:space="preserve"> in parallel: </w:t>
      </w:r>
      <w:r w:rsidR="003868B7">
        <w:t>A</w:t>
      </w:r>
      <w:r w:rsidR="00A94B48">
        <w:t xml:space="preserve"> </w:t>
      </w:r>
      <w:ins w:id="13" w:author="Hyosub Kim" w:date="2020-05-30T13:52:00Z">
        <w:r w:rsidR="00F85A8B">
          <w:t xml:space="preserve">voluntary, </w:t>
        </w:r>
      </w:ins>
      <w:r w:rsidR="00A94B48">
        <w:t xml:space="preserve">strategic learning </w:t>
      </w:r>
      <w:r w:rsidR="007C3D1D">
        <w:t xml:space="preserve">process that is active when the goal is to match step lengths to </w:t>
      </w:r>
      <w:r w:rsidR="00A94B48">
        <w:t xml:space="preserve">visual targets, and </w:t>
      </w:r>
      <w:r w:rsidR="007C3D1D">
        <w:t>in parallel, a</w:t>
      </w:r>
      <w:ins w:id="14" w:author="Hyosub Kim" w:date="2020-05-30T13:52:00Z">
        <w:r w:rsidR="00F85A8B">
          <w:t>n automatic,</w:t>
        </w:r>
      </w:ins>
      <w:r w:rsidR="007C3D1D">
        <w:t xml:space="preserve"> slow</w:t>
      </w:r>
      <w:r w:rsidR="00EE2D65">
        <w:t>ly updating</w:t>
      </w:r>
      <w:r w:rsidR="007C3D1D">
        <w:t xml:space="preserve"> </w:t>
      </w:r>
      <w:r w:rsidR="00234029">
        <w:t xml:space="preserve">use-dependent </w:t>
      </w:r>
      <w:r w:rsidR="000B6FC3">
        <w:t xml:space="preserve">learning </w:t>
      </w:r>
      <w:r w:rsidR="007C3D1D">
        <w:t xml:space="preserve">process that biases movements in the direction of </w:t>
      </w:r>
      <w:r w:rsidR="00EE2D65">
        <w:t xml:space="preserve">immediately preceding </w:t>
      </w:r>
      <w:r w:rsidR="007C3D1D">
        <w:t>movements</w:t>
      </w:r>
      <w:r w:rsidR="00EE2D65">
        <w:t xml:space="preserve"> </w:t>
      </w:r>
      <w:r w:rsidR="00EE2D65">
        <w:fldChar w:fldCharType="begin"/>
      </w:r>
      <w:r w:rsidR="005258B5">
        <w:instrText xml:space="preserve"> ADDIN ZOTERO_ITEM CSL_CITATION {"citationID":"2fFJ5Ebo","properties":{"formattedCitation":"(Diedrichsen et al., 2010)","plainCitation":"(Diedrichsen et al., 2010)","noteIndex":0},"citationItems":[{"id":"oyfatZRQ/K0YHkse5","uris":["http://zotero.org/users/5226272/items/CGQM3V6N"],"uri":["http://zotero.org/users/5226272/items/CGQM3V6N"],"itemData":{"id":264,"type":"article-journal","container-title":"Journal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 xml:space="preserve">Strategy </w:t>
      </w:r>
      <w:r w:rsidR="00D13F91">
        <w:t xml:space="preserve">plus </w:t>
      </w:r>
      <w:r w:rsidR="00F25D25">
        <w:t>U</w:t>
      </w:r>
      <w:r w:rsidR="000B6FC3">
        <w:t>se-</w:t>
      </w:r>
      <w:r w:rsidR="00F25D25">
        <w:t>D</w:t>
      </w:r>
      <w:r w:rsidR="000B6FC3">
        <w:t xml:space="preserve">ependent </w:t>
      </w:r>
      <w:r w:rsidR="00234029">
        <w:t>model</w:t>
      </w:r>
      <w:r w:rsidR="007C3D1D">
        <w:t xml:space="preserve"> is much less sensitive to the </w:t>
      </w:r>
      <w:r w:rsidR="00EE2D65">
        <w:t xml:space="preserve">consistency of the environment than the </w:t>
      </w:r>
      <w:r w:rsidR="00F85A8B">
        <w:t xml:space="preserve">Adaptive </w:t>
      </w:r>
      <w:r w:rsidR="00EE2D65">
        <w:t>Bayesian model</w:t>
      </w:r>
      <w:r w:rsidR="00161EF8">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lastRenderedPageBreak/>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63B1497D"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 xml:space="preserve">from the mean performance in terms of either step asymmetry index or target </w:t>
      </w:r>
      <w:commentRangeStart w:id="15"/>
      <w:r w:rsidRPr="002039BA">
        <w:t>accuracy</w:t>
      </w:r>
      <w:commentRangeEnd w:id="15"/>
      <w:r w:rsidR="008D6765">
        <w:rPr>
          <w:rStyle w:val="CommentReference"/>
        </w:rPr>
        <w:commentReference w:id="15"/>
      </w:r>
      <w:r w:rsidRPr="002039BA">
        <w:t>.</w:t>
      </w:r>
      <w:r w:rsidRPr="000B545E">
        <w:t xml:space="preserve">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w:t>
      </w:r>
      <w:r w:rsidR="001D563C">
        <w:lastRenderedPageBreak/>
        <w:t xml:space="preserve">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7B5C5DE1"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(50 strides </w:t>
      </w:r>
      <w:proofErr w:type="gramStart"/>
      <w:r w:rsidR="00F2099B">
        <w:t>takes</w:t>
      </w:r>
      <w:proofErr w:type="gramEnd"/>
      <w:r w:rsidR="00F2099B">
        <w:t xml:space="preserve"> approximately 1 minute)</w:t>
      </w:r>
      <w:r>
        <w:t xml:space="preserve">.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 xml:space="preserve">(pink </w:t>
      </w:r>
      <w:r w:rsidR="00DB77C0">
        <w:lastRenderedPageBreak/>
        <w:t>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6FEA09B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w:t>
      </w:r>
      <w:r>
        <w:lastRenderedPageBreak/>
        <w:t>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7B2EA76B"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w:t>
      </w:r>
      <w:r w:rsidR="001915A5">
        <w:lastRenderedPageBreak/>
        <w:t xml:space="preserve">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5A38276B" w:rsidR="00E00AF1" w:rsidRDefault="001D7E75" w:rsidP="00407563">
      <w:pPr>
        <w:spacing w:line="480" w:lineRule="auto"/>
      </w:pPr>
      <w:r>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 xml:space="preserve">will also </w:t>
      </w:r>
      <w:r w:rsidR="00372996">
        <w:t>assess</w:t>
      </w:r>
      <w:r w:rsidR="00C31232">
        <w:t xml:space="preserve"> our assumption that</w:t>
      </w:r>
      <w:r w:rsidR="001C484F">
        <w:t xml:space="preserve">, during the </w:t>
      </w:r>
      <w:r w:rsidR="005A4F63">
        <w:t>L</w:t>
      </w:r>
      <w:r w:rsidR="001C484F">
        <w:t>earning phase,</w:t>
      </w:r>
      <w:r w:rsidR="00C31232">
        <w:t xml:space="preserve"> </w:t>
      </w:r>
      <w:r w:rsidR="00372996">
        <w:t xml:space="preserve">the mean </w:t>
      </w:r>
      <w:r w:rsidR="00C31232">
        <w:t xml:space="preserve">SAI will </w:t>
      </w:r>
      <w:r w:rsidR="00F220C2">
        <w:t>not differ</w:t>
      </w:r>
      <w:r w:rsidR="00C31232">
        <w:t xml:space="preserve"> across conditions</w:t>
      </w:r>
      <w:r w:rsidR="00372996">
        <w:t xml:space="preserve"> (</w:t>
      </w:r>
      <w:r w:rsidR="00FE00C3">
        <w:t>Learning SAI mean</w:t>
      </w:r>
      <w:r w:rsidR="00372996">
        <w:t>)</w:t>
      </w:r>
      <w:r w:rsidR="00C31232">
        <w:t xml:space="preserve">, but the SAI standard deviation </w:t>
      </w:r>
      <w:r w:rsidR="009918D7">
        <w:t>(</w:t>
      </w:r>
      <w:r w:rsidR="00FE00C3">
        <w:t xml:space="preserve">Learning SAI </w:t>
      </w:r>
      <w:r w:rsidR="00FE00C3">
        <w:sym w:font="Symbol" w:char="F073"/>
      </w:r>
      <w:r w:rsidR="00FE00C3">
        <w:t>)</w:t>
      </w:r>
      <w:r w:rsidR="009918D7">
        <w:t xml:space="preserve"> </w:t>
      </w:r>
      <w:r w:rsidR="00C31232">
        <w:t>will</w:t>
      </w:r>
      <w:r w:rsidR="00F220C2">
        <w:t>,</w:t>
      </w:r>
      <w:r w:rsidR="00C31232">
        <w:t xml:space="preserve"> </w:t>
      </w:r>
      <w:r w:rsidR="00B94F95">
        <w:t xml:space="preserve">by </w:t>
      </w:r>
      <w:r w:rsidR="00ED75F4">
        <w:t xml:space="preserve">examining both </w:t>
      </w:r>
      <w:r w:rsidR="00F220C2">
        <w:t xml:space="preserve">measures </w:t>
      </w:r>
      <w:r w:rsidR="00ED75F4">
        <w:t>for</w:t>
      </w:r>
      <w:r w:rsidR="00B94F95">
        <w:t xml:space="preserve"> the entire Learning phase</w:t>
      </w:r>
      <w:r w:rsidR="00372996">
        <w:t>.</w:t>
      </w:r>
    </w:p>
    <w:p w14:paraId="5537027F" w14:textId="3A67A471" w:rsidR="003D0D56" w:rsidRDefault="003D0D56" w:rsidP="00407563">
      <w:pPr>
        <w:spacing w:line="480" w:lineRule="auto"/>
      </w:pPr>
    </w:p>
    <w:p w14:paraId="473DD9C1" w14:textId="002E693C" w:rsidR="005E012E" w:rsidRDefault="007562D9" w:rsidP="00407563">
      <w:pPr>
        <w:spacing w:line="480" w:lineRule="auto"/>
      </w:pPr>
      <w:r>
        <w:t>Our analyses will focus on use-dependent biases at two different time points</w:t>
      </w:r>
      <w:r w:rsidR="00B94F95">
        <w:t>. First,</w:t>
      </w:r>
      <w:r w:rsidR="00CF21BD">
        <w:t xml:space="preserve"> to characterize the </w:t>
      </w:r>
      <w:r>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258B5">
        <w:instrText xml:space="preserve"> ADDIN ZOTERO_ITEM CSL_CITATION {"citationID":"vjHLs9hY","properties":{"formattedCitation":"(Day et al., 2018; Leech et al., 2018)","plainCitation":"(Day et al., 2018; Leech et al., 2018)","dontUpdate":true,"noteIndex":0},"citationItems":[{"id":"oyfatZRQ/LD9A77YF","uris":["http://zotero.org/users/5226272/items/ANIP7DUQ"],"uri":["http://zotero.org/users/5226272/items/ANIP7DUQ"],"itemData":{"id":49,"type":"article-journal","container-title":"Journal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J."}],"issued":{"date-parts":[["2018",6]]}}},{"id":"oyfatZRQ/U3noMmEM","uris":["http://zotero.org/users/5226272/items/H3AT876V"],"uri":["http://zotero.org/users/5226272/items/H3AT876V"],"itemData":{"id":1092,"type":"article-journal","container-title":"Scientific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by regressing subsequent strides onto current strides for each stride of washout. The slope of this regression</w:t>
      </w:r>
      <w:r w:rsidR="002B60A5">
        <w:t xml:space="preserve"> </w:t>
      </w:r>
      <w:r w:rsidR="00217631">
        <w:t xml:space="preserve">estimates </w:t>
      </w:r>
      <w:r w:rsidR="002B60A5">
        <w:t xml:space="preserve">the </w:t>
      </w:r>
      <w:r w:rsidR="005568E3">
        <w:t xml:space="preserve">state </w:t>
      </w:r>
      <w:r w:rsidR="002B60A5">
        <w:t xml:space="preserve">of </w:t>
      </w:r>
      <w:r w:rsidR="005568E3">
        <w:t xml:space="preserve">use-dependent learning </w:t>
      </w:r>
      <w:r w:rsidR="00F6786F">
        <w:t xml:space="preserve">retained from one </w:t>
      </w:r>
      <w:r w:rsidR="002B60A5">
        <w:t xml:space="preserve">stride </w:t>
      </w:r>
      <w:r w:rsidR="00F6786F">
        <w:t>to the next</w:t>
      </w:r>
      <w:r w:rsidR="002B60A5">
        <w:t xml:space="preserve">. </w:t>
      </w:r>
      <w:r w:rsidR="00BF7145">
        <w:fldChar w:fldCharType="begin"/>
      </w:r>
      <w:r w:rsidR="005258B5">
        <w:instrText xml:space="preserve"> ADDIN ZOTERO_ITEM CSL_CITATION {"citationID":"lOffBejl","properties":{"formattedCitation":"(Kitago et al., 2013; Wood et al., 2020)","plainCitation":"(Kitago et al., 2013; Wood et al., 2020)","noteIndex":0},"citationItems":[{"id":"oyfatZRQ/x6AW3G7n","uris":["http://zotero.org/users/5226272/items/4AIVQIJ9"],"uri":["http://zotero.org/users/5226272/items/4AIVQIJ9"],"itemData":{"id":1076,"type":"article-journal","abstract":"Humans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oyfatZRQ/txAOx9H9","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9918D7">
      <w:pPr>
        <w:spacing w:line="480" w:lineRule="auto"/>
        <w:rPr>
          <w:i/>
          <w:iCs/>
          <w:u w:val="single"/>
        </w:rPr>
      </w:pPr>
      <w:r w:rsidRPr="00D70C81">
        <w:rPr>
          <w:i/>
          <w:iCs/>
          <w:u w:val="single"/>
        </w:rPr>
        <w:t>Statistical analysis</w:t>
      </w:r>
      <w:r w:rsidR="00D70C81">
        <w:rPr>
          <w:i/>
          <w:iCs/>
          <w:u w:val="single"/>
        </w:rPr>
        <w:t>:</w:t>
      </w:r>
    </w:p>
    <w:p w14:paraId="7DC1165C" w14:textId="5C35965C" w:rsidR="00774C81" w:rsidRDefault="003017B8" w:rsidP="009918D7">
      <w:pPr>
        <w:spacing w:line="480" w:lineRule="auto"/>
      </w:pPr>
      <w:r>
        <w:t xml:space="preserve">Our competing hypotheses are encapsulated by </w:t>
      </w:r>
      <w:r w:rsidR="00D611DC">
        <w:t>our</w:t>
      </w:r>
      <w:r>
        <w:t xml:space="preserve"> two computational models</w:t>
      </w:r>
      <w:r w:rsidR="00D611DC">
        <w:t xml:space="preserve">, the Strategy plus Use-Dependent </w:t>
      </w:r>
      <w:r w:rsidR="00FE00C3">
        <w:t xml:space="preserve">model </w:t>
      </w:r>
      <w:r w:rsidR="00D611DC">
        <w:t xml:space="preserve">(Model 1) and </w:t>
      </w:r>
      <w:r w:rsidR="00FE00C3">
        <w:t xml:space="preserve">the </w:t>
      </w:r>
      <w:r w:rsidR="00D611DC">
        <w:t xml:space="preserve">Adaptive Bayesian </w:t>
      </w:r>
      <w:r w:rsidR="00FE00C3">
        <w:t xml:space="preserve">model </w:t>
      </w:r>
      <w:r w:rsidR="00D611DC">
        <w:t>(Model 2</w:t>
      </w:r>
      <w:r w:rsidR="00FE00C3">
        <w:t>)</w:t>
      </w:r>
      <w:r w:rsidR="00D611DC">
        <w:t xml:space="preserve">, and their corresponding predictions regarding use-dependent biases (described in Model-Based Analyses section and shown in Fig. 3). Relative support for one model over the other </w:t>
      </w:r>
      <w:r>
        <w:t xml:space="preserve">will be </w:t>
      </w:r>
      <w:r w:rsidR="00D611DC">
        <w:t xml:space="preserve">formally assessed using </w:t>
      </w:r>
      <w:r>
        <w:t xml:space="preserve">model </w:t>
      </w:r>
      <w:r w:rsidR="00D611DC">
        <w:t xml:space="preserve">selection criteria, specifically Akaike Information Criterion (AIC) scores </w:t>
      </w:r>
      <w:r>
        <w:t>(see Planned Model Comparison below)</w:t>
      </w:r>
      <w:r w:rsidR="00D611DC">
        <w:t xml:space="preserve">. </w:t>
      </w:r>
      <w:r w:rsidR="002E35EA">
        <w:t>Quality of model fits will be reported using R-</w:t>
      </w:r>
      <w:r w:rsidR="002E35EA">
        <w:lastRenderedPageBreak/>
        <w:t xml:space="preserve">squared values. </w:t>
      </w:r>
      <w:r w:rsidR="004A0A3B">
        <w:t>As t</w:t>
      </w:r>
      <w:r w:rsidR="00D611DC">
        <w:t>he two models make different predictions regarding the effects of movement consistency on use-dependent biases</w:t>
      </w:r>
      <w:r w:rsidR="004A0A3B">
        <w:t>, we will also perform statistical analyses of Initial Bias, Early Washout, and washout rate using separate repeated measures ANOVAs</w:t>
      </w:r>
      <w:r>
        <w:t xml:space="preserve">. </w:t>
      </w:r>
      <w:r w:rsidR="004A0A3B">
        <w:t xml:space="preserve">In cases of a significant ANOVA, post-hoc pairwise comparisons will be performed </w:t>
      </w:r>
      <w:r w:rsidR="007562D9">
        <w:t xml:space="preserve">with </w:t>
      </w:r>
      <w:r w:rsidR="004A0A3B">
        <w:t>Bonferroni-corrected t-tests.</w:t>
      </w:r>
      <w:r w:rsidR="00774C81">
        <w:t xml:space="preserve"> </w:t>
      </w:r>
    </w:p>
    <w:p w14:paraId="2F882B5C" w14:textId="268D7043" w:rsidR="009918D7" w:rsidRDefault="009918D7" w:rsidP="009918D7">
      <w:pPr>
        <w:spacing w:line="480" w:lineRule="auto"/>
      </w:pPr>
    </w:p>
    <w:p w14:paraId="1B186EB8" w14:textId="3DB63C25" w:rsidR="00F220C2" w:rsidRDefault="00F220C2" w:rsidP="009918D7">
      <w:pPr>
        <w:spacing w:line="480" w:lineRule="auto"/>
      </w:pPr>
      <w:r>
        <w:t>We do not have competing hypotheses regarding the Learning phase</w:t>
      </w:r>
      <w:r w:rsidR="006C28D7">
        <w:t>,</w:t>
      </w:r>
      <w:r>
        <w:t xml:space="preserve"> as we expect participants to accurately follow the visual targets (PUT IN POINTERS TO PILOT DATA AND APPROPRIATE FIG(S)). As stated above, this should result in </w:t>
      </w:r>
      <w:r w:rsidR="00FE00C3" w:rsidRPr="00FE00C3">
        <w:t>Learning SAI mean</w:t>
      </w:r>
      <w:r>
        <w:t xml:space="preserve"> </w:t>
      </w:r>
      <w:r w:rsidR="006C28D7">
        <w:t xml:space="preserve">values that do not differ across conditions, but </w:t>
      </w:r>
      <w:r>
        <w:t xml:space="preserve">larger </w:t>
      </w:r>
      <w:r w:rsidR="00FE00C3" w:rsidRPr="00FE00C3">
        <w:t xml:space="preserve">Learning SAI </w:t>
      </w:r>
      <w:r w:rsidR="00FE00C3" w:rsidRPr="00FE00C3">
        <w:sym w:font="Symbol" w:char="F073"/>
      </w:r>
      <w:r w:rsidR="00FE00C3">
        <w:t xml:space="preserve"> </w:t>
      </w:r>
      <w:r w:rsidR="006C28D7">
        <w:t xml:space="preserve">values </w:t>
      </w:r>
      <w:r>
        <w:t xml:space="preserve">when going from Repeated to 5% </w:t>
      </w:r>
      <w:r w:rsidRPr="009918D7">
        <w:sym w:font="Symbol" w:char="F073"/>
      </w:r>
      <w:r>
        <w:t xml:space="preserve"> to Uniform conditions.</w:t>
      </w:r>
      <w:r w:rsidR="006C28D7">
        <w:t xml:space="preserve"> These assumptions will also be assessed using repeated measures ANOVA. </w:t>
      </w:r>
    </w:p>
    <w:p w14:paraId="44C5ED4C" w14:textId="77777777" w:rsidR="00F220C2" w:rsidRPr="009918D7" w:rsidRDefault="00F220C2" w:rsidP="009918D7">
      <w:pPr>
        <w:spacing w:line="480" w:lineRule="auto"/>
      </w:pPr>
    </w:p>
    <w:p w14:paraId="63616A2F" w14:textId="132A676E" w:rsidR="00D611DC" w:rsidRDefault="004A0A3B" w:rsidP="009918D7">
      <w:pPr>
        <w:spacing w:line="480" w:lineRule="auto"/>
      </w:pPr>
      <w:r>
        <w:t xml:space="preserve">While the Adaptive Bayesian model predicts differences in use-dependent biases across conditions, the Strategy plus Use-Dependent model predicts similar use-dependent biases </w:t>
      </w:r>
      <w:r w:rsidR="00FE00C3">
        <w:t xml:space="preserve">across </w:t>
      </w:r>
      <w:r>
        <w:t>conditions. Therefore, we will also perform equivalence tests using the two</w:t>
      </w:r>
      <w:r w:rsidR="00C443B2">
        <w:t xml:space="preserve"> </w:t>
      </w:r>
      <w:r>
        <w:t>one</w:t>
      </w:r>
      <w:r w:rsidR="00C443B2">
        <w:t>-</w:t>
      </w:r>
      <w:r>
        <w:t>sided tests (TOST) procedure</w:t>
      </w:r>
      <w:r w:rsidR="005258B5">
        <w:t xml:space="preserve"> </w:t>
      </w:r>
      <w:r w:rsidR="005258B5">
        <w:fldChar w:fldCharType="begin"/>
      </w:r>
      <w:r w:rsidR="005258B5">
        <w:instrText xml:space="preserve"> ADDIN ZOTERO_ITEM CSL_CITATION {"citationID":"M9BV37dV","properties":{"formattedCitation":"(Lakens, 2017)","plainCitation":"(Lakens, 2017)","noteIndex":0},"citationItems":[{"id":6094,"uris":["http://zotero.org/users/3643520/items/EYVDI4DY"],"uri":["http://zotero.org/users/3643520/items/EYVDI4DY"],"itemData":{"id":6094,"type":"article-journal","abstract":"Scientists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rsidR="005258B5">
        <w:fldChar w:fldCharType="separate"/>
      </w:r>
      <w:r w:rsidR="005258B5">
        <w:rPr>
          <w:noProof/>
        </w:rPr>
        <w:t>(Lakens, 2017)</w:t>
      </w:r>
      <w:r w:rsidR="005258B5">
        <w:fldChar w:fldCharType="end"/>
      </w:r>
      <w:r w:rsidR="005258B5">
        <w:t>.</w:t>
      </w:r>
      <w:r w:rsidR="00C443B2">
        <w:t xml:space="preserve"> Briefly, the TOST procedure involves two composite null hypotheses that an observed effect is either below or above </w:t>
      </w:r>
      <w:r w:rsidR="004B419E">
        <w:t xml:space="preserve">chosen </w:t>
      </w:r>
      <w:r w:rsidR="00C443B2">
        <w:t>equivalence bounds</w:t>
      </w:r>
      <w:r w:rsidR="004B419E">
        <w:t xml:space="preserve"> (Cohen’s </w:t>
      </w:r>
      <w:r w:rsidR="004B419E">
        <w:rPr>
          <w:i/>
        </w:rPr>
        <w:t xml:space="preserve">d </w:t>
      </w:r>
      <w:r w:rsidR="004B419E">
        <w:t>of +/-0.3</w:t>
      </w:r>
      <w:ins w:id="16" w:author="Hyosub Kim" w:date="2020-05-30T22:39:00Z">
        <w:r w:rsidR="007E505C">
          <w:t xml:space="preserve">; </w:t>
        </w:r>
      </w:ins>
      <w:r w:rsidR="009918D7">
        <w:t xml:space="preserve">see </w:t>
      </w:r>
      <w:r w:rsidR="009918D7">
        <w:fldChar w:fldCharType="begin"/>
      </w:r>
      <w:r w:rsidR="009918D7">
        <w:instrText xml:space="preserve"> ADDIN ZOTERO_ITEM CSL_CITATION {"citationID":"IrnOqxIh","properties":{"formattedCitation":"(Lakens, 2013)","plainCitation":"(Lakens, 2013)","noteIndex":0},"citationItems":[{"id":3335,"uris":["http://zotero.org/users/3643520/items/IIEDZML3"],"uri":["http://zotero.org/users/3643520/items/IIEDZML3"],"itemData":{"id":3335,"type":"article-journal","abstract":"Effect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rsidR="009918D7">
        <w:fldChar w:fldCharType="separate"/>
      </w:r>
      <w:r w:rsidR="009918D7">
        <w:rPr>
          <w:noProof/>
        </w:rPr>
        <w:t>(Lakens, 2013)</w:t>
      </w:r>
      <w:r w:rsidR="009918D7">
        <w:fldChar w:fldCharType="end"/>
      </w:r>
      <w:r w:rsidR="004B419E">
        <w:t>)</w:t>
      </w:r>
      <w:r w:rsidR="00812DE8">
        <w:t>, and thus</w:t>
      </w:r>
      <w:r w:rsidR="00C443B2">
        <w:t xml:space="preserve"> provides a means of providing support for the lack of a meaningful effect</w:t>
      </w:r>
      <w:r w:rsidR="00812DE8">
        <w:t xml:space="preserve">. </w:t>
      </w:r>
      <w:r w:rsidR="00C443B2">
        <w:t xml:space="preserve"> </w:t>
      </w:r>
    </w:p>
    <w:p w14:paraId="273B9D73" w14:textId="5BF782D2" w:rsidR="00774C81" w:rsidRDefault="00774C81" w:rsidP="009918D7">
      <w:pPr>
        <w:spacing w:line="480" w:lineRule="auto"/>
      </w:pPr>
    </w:p>
    <w:p w14:paraId="65117388" w14:textId="64B5BB61" w:rsidR="003017B8" w:rsidRDefault="003017B8" w:rsidP="003017B8">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w:t>
      </w:r>
      <w:r w:rsidR="007E505C">
        <w:t>ANOVAs</w:t>
      </w:r>
      <w:r>
        <w:t xml:space="preserve">). </w:t>
      </w:r>
      <w:r w:rsidR="004B419E">
        <w:t xml:space="preserve">Alpha will be set at </w:t>
      </w:r>
      <w:commentRangeStart w:id="17"/>
      <w:r w:rsidR="004B419E">
        <w:t>0.05</w:t>
      </w:r>
      <w:commentRangeEnd w:id="17"/>
      <w:r w:rsidR="004B419E">
        <w:rPr>
          <w:rStyle w:val="CommentReference"/>
        </w:rPr>
        <w:commentReference w:id="17"/>
      </w:r>
      <w:r>
        <w:t xml:space="preserve">. </w:t>
      </w:r>
      <w:r w:rsidR="004B419E">
        <w:t xml:space="preserve">For equivalence testing, we will </w:t>
      </w:r>
      <w:r w:rsidR="002E35EA">
        <w:t xml:space="preserve">also </w:t>
      </w:r>
      <w:r w:rsidR="004B419E">
        <w:t xml:space="preserve">report the empirical equivalence bounds </w:t>
      </w:r>
      <w:r w:rsidR="002E35EA">
        <w:t>for</w:t>
      </w:r>
      <w:r w:rsidR="004B419E">
        <w:t xml:space="preserve"> which we </w:t>
      </w:r>
      <w:r w:rsidR="007E505C">
        <w:t xml:space="preserve">would be able to </w:t>
      </w:r>
      <w:r w:rsidR="004B419E">
        <w:t>reject the null hypothesis</w:t>
      </w:r>
      <w:r w:rsidR="002E35EA">
        <w:t xml:space="preserve"> </w:t>
      </w:r>
      <w:r w:rsidR="006C28D7">
        <w:t>that there is an</w:t>
      </w:r>
      <w:r w:rsidR="002E35EA">
        <w:t xml:space="preserve"> effect</w:t>
      </w:r>
      <w:r w:rsidR="006C28D7">
        <w:t xml:space="preserve"> of condition</w:t>
      </w:r>
      <w:r w:rsidR="004B419E">
        <w:t xml:space="preserve">. </w:t>
      </w:r>
      <w:r>
        <w:t xml:space="preserve">Assumptions of </w:t>
      </w:r>
      <w:r>
        <w:lastRenderedPageBreak/>
        <w:t xml:space="preserve">normality and homoscedasticity will be tested with the Shapiro-Wilks test and </w:t>
      </w:r>
      <w:proofErr w:type="spellStart"/>
      <w:r>
        <w:t>Levene’s</w:t>
      </w:r>
      <w:proofErr w:type="spellEnd"/>
      <w:r>
        <w:t xml:space="preserve"> test, respectively. In cases where assumptions of normality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C22E6D3" w14:textId="77777777" w:rsidR="00AD6FB6" w:rsidRDefault="00AD6FB6" w:rsidP="00407563">
      <w:pPr>
        <w:spacing w:line="480" w:lineRule="auto"/>
      </w:pPr>
    </w:p>
    <w:p w14:paraId="101A39E2" w14:textId="5B2C68A1"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w:t>
      </w:r>
      <w:r w:rsidR="002E35EA">
        <w:t xml:space="preserve">in order </w:t>
      </w:r>
      <w:r>
        <w:t xml:space="preserve">to assess potential SAI differences across </w:t>
      </w:r>
      <w:r w:rsidR="002E35EA">
        <w:t xml:space="preserve">the </w:t>
      </w:r>
      <w:r w:rsidR="000213D4">
        <w:t xml:space="preserve">entire </w:t>
      </w:r>
      <w:r>
        <w:t>Washout phase</w:t>
      </w:r>
      <w:r w:rsidR="007E505C">
        <w:t>s</w:t>
      </w:r>
      <w:r>
        <w:t xml:space="preserve"> for each condition</w:t>
      </w:r>
      <w:r w:rsidR="00D70C81">
        <w:t xml:space="preserve"> </w:t>
      </w:r>
      <w:r w:rsidR="00D70C81">
        <w:fldChar w:fldCharType="begin"/>
      </w:r>
      <w:r w:rsidR="005258B5">
        <w:instrText xml:space="preserve"> ADDIN ZOTERO_ITEM CSL_CITATION {"citationID":"285qrc6L","properties":{"formattedCitation":"(Holmes et al., 1996; Maris and Oostenveld, 2007)","plainCitation":"(Holmes et al., 1996; Maris and Oostenveld, 2007)","noteIndex":0},"citationItems":[{"id":"oyfatZRQ/XC0wmzu1","uris":["http://zotero.org/users/5226272/items/W4MRIXQT"],"uri":["http://zotero.org/users/5226272/items/W4MRIXQT"],"itemData":{"id":1825,"type":"article-journal","abstract":"The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D."},{"family":"Ford","given":"I."}],"issued":{"date-parts":[["1996",1]]}}},{"id":"oyfatZRQ/WjjdO14m","uris":["http://zotero.org/users/5226272/items/4HMTZUGR"],"uri":["http://zotero.org/users/5226272/items/4HMTZUGR"],"itemData":{"id":1850,"type":"article-journal","abstract":"In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5258B5">
        <w:instrText xml:space="preserve"> ADDIN ZOTERO_ITEM CSL_CITATION {"citationID":"7bBVPTiH","properties":{"formattedCitation":"(Maris and Oostenveld, 2007; Nichols and Holmes, 2002)","plainCitation":"(Maris and Oostenveld, 2007; Nichols and Holmes, 2002)","noteIndex":0},"citationItems":[{"id":"oyfatZRQ/WjjdO14m","uris":["http://zotero.org/users/5226272/items/4HMTZUGR"],"uri":["http://zotero.org/users/5226272/items/4HMTZUGR"],"itemData":{"id":1850,"type":"article-journal","abstract":"In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oyfatZRQ/cy9NkWM6","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509DDFD2" w14:textId="77777777" w:rsidR="004B419E" w:rsidRPr="00D13F91" w:rsidRDefault="004B419E" w:rsidP="004B419E">
      <w:pPr>
        <w:spacing w:line="480" w:lineRule="auto"/>
        <w:rPr>
          <w:i/>
          <w:u w:val="single"/>
        </w:rPr>
      </w:pPr>
      <w:commentRangeStart w:id="18"/>
      <w:r>
        <w:rPr>
          <w:i/>
          <w:u w:val="single"/>
        </w:rPr>
        <w:t>Power analysis:</w:t>
      </w:r>
      <w:commentRangeEnd w:id="18"/>
      <w:r w:rsidR="007E505C">
        <w:rPr>
          <w:rStyle w:val="CommentReference"/>
        </w:rPr>
        <w:commentReference w:id="18"/>
      </w:r>
    </w:p>
    <w:p w14:paraId="53A064B6" w14:textId="5307E7D4" w:rsidR="004B419E" w:rsidRDefault="00581540" w:rsidP="004B419E">
      <w:pPr>
        <w:spacing w:line="480" w:lineRule="auto"/>
      </w:pPr>
      <w:r>
        <w:lastRenderedPageBreak/>
        <w:t>W</w:t>
      </w:r>
      <w:r w:rsidR="004B419E">
        <w:t xml:space="preserve">e performed </w:t>
      </w:r>
      <w:r>
        <w:t xml:space="preserve">a </w:t>
      </w:r>
      <w:r w:rsidR="004B419E">
        <w:t>power analys</w:t>
      </w:r>
      <w:r>
        <w:t>i</w:t>
      </w:r>
      <w:r w:rsidR="004B419E">
        <w:t xml:space="preserve">s </w:t>
      </w:r>
      <w:r w:rsidR="00FE00C3">
        <w:t>to determine the sample size required to</w:t>
      </w:r>
      <w:ins w:id="19" w:author="Hyosub Kim" w:date="2020-05-30T18:35:00Z">
        <w:r w:rsidR="00FE00C3">
          <w:t xml:space="preserve"> </w:t>
        </w:r>
      </w:ins>
      <w:r w:rsidR="00FE00C3">
        <w:t xml:space="preserve">detect differences in use-dependent biases across conditions, with </w:t>
      </w:r>
      <w:r w:rsidR="004B419E">
        <w:t xml:space="preserve">alpha of 0.05 and power of 0.90. Based on an estimated standardized effect size (Cohen’s </w:t>
      </w:r>
      <w:r w:rsidR="004B419E" w:rsidRPr="00812DE8">
        <w:rPr>
          <w:i/>
        </w:rPr>
        <w:t>d</w:t>
      </w:r>
      <w:r w:rsidR="004B419E">
        <w:t xml:space="preserve">) </w:t>
      </w:r>
      <w:r w:rsidR="004B419E" w:rsidRPr="00812DE8">
        <w:t>of</w:t>
      </w:r>
      <w:r w:rsidR="004B419E">
        <w:t xml:space="preserve"> 0.91 from a prior study comparing locomotor use-dependent biases across different </w:t>
      </w:r>
      <w:r>
        <w:t xml:space="preserve">magnitudes of induced stepping asymmetries during learning phases </w:t>
      </w:r>
      <w:r w:rsidR="004B419E">
        <w:fldChar w:fldCharType="begin"/>
      </w:r>
      <w:r w:rsidR="004B419E">
        <w:instrText xml:space="preserve"> ADDIN ZOTERO_ITEM CSL_CITATION {"citationID":"1QLdp45j","properties":{"formattedCitation":"(Wood et al., 2020)","plainCitation":"(Wood et al., 2020)","noteIndex":0},"citationItems":[{"id":"oyfatZRQ/txAOx9H9","uris":["http://zotero.org/users/5226272/items/9YRCDLCG"],"uri":["http://zotero.org/users/5226272/items/9YRCDLCG"],"itemData":{"id":1860,"type":"article-journal","abstract":"Studies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4613D4">
        <w:t>(Wood et al., 2020)</w:t>
      </w:r>
      <w:r w:rsidR="004B419E">
        <w:fldChar w:fldCharType="end"/>
      </w:r>
      <w:r w:rsidR="004B419E">
        <w:t xml:space="preserve">, we will require 15 subjects. </w:t>
      </w:r>
      <w:r w:rsidR="007E505C">
        <w:t>W</w:t>
      </w:r>
      <w:r w:rsidR="004B419E">
        <w:t xml:space="preserve">e </w:t>
      </w:r>
      <w:r w:rsidR="007E505C">
        <w:t xml:space="preserve">therefore </w:t>
      </w:r>
      <w:r w:rsidR="004B419E">
        <w:t>expect to recruit 1</w:t>
      </w:r>
      <w:r w:rsidR="00971F0B">
        <w:t>5</w:t>
      </w:r>
      <w:r w:rsidR="004B419E">
        <w:t xml:space="preserve">-21 individuals for this study in order to account for possible attrition and to exceed the minimum acceptable power. </w:t>
      </w:r>
      <w:r w:rsidR="004B419E" w:rsidRPr="0049425E">
        <w:t>Th</w:t>
      </w:r>
      <w:r w:rsidR="004B419E">
        <w:t>is</w:t>
      </w:r>
      <w:r w:rsidR="004B419E" w:rsidRPr="0049425E">
        <w:t xml:space="preserve"> </w:t>
      </w:r>
      <w:r w:rsidR="004B419E">
        <w:t>sample size</w:t>
      </w:r>
      <w:r w:rsidR="004B419E" w:rsidRPr="0049425E">
        <w:t xml:space="preserve"> </w:t>
      </w:r>
      <w:r w:rsidR="004B419E">
        <w:t>will</w:t>
      </w:r>
      <w:r w:rsidR="004B419E" w:rsidRPr="0049425E">
        <w:t xml:space="preserve"> </w:t>
      </w:r>
      <w:r w:rsidR="004B419E">
        <w:t>also ensure appropriate counterbalancing of practice schedules across participants while also being well-above</w:t>
      </w:r>
      <w:r w:rsidR="004B419E" w:rsidRPr="0049425E">
        <w:t xml:space="preserve"> the threshold </w:t>
      </w:r>
      <w:r w:rsidR="004B419E">
        <w:t>of</w:t>
      </w:r>
      <w:r w:rsidR="004B419E" w:rsidRPr="0049425E">
        <w:t xml:space="preserve"> statistical power documented</w:t>
      </w:r>
      <w:r w:rsidR="004B419E">
        <w:t xml:space="preserve"> </w:t>
      </w:r>
      <w:r w:rsidR="004B419E" w:rsidRPr="0049425E">
        <w:t xml:space="preserve">in </w:t>
      </w:r>
      <w:r w:rsidR="004B419E">
        <w:t xml:space="preserve">comparable motor learning studies </w:t>
      </w:r>
      <w:r w:rsidR="004B419E">
        <w:fldChar w:fldCharType="begin"/>
      </w:r>
      <w:r w:rsidR="004B419E">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2020)","noteIndex":0},"citationItems":[{"id":"oyfatZRQ/K0YHkse5","uris":["http://zotero.org/users/5226272/items/CGQM3V6N"],"uri":["http://zotero.org/users/5226272/items/CGQM3V6N"],"itemData":{"id":264,"type":"article-journal","container-title":"Journal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oyfatZRQ/8x7P4kGi","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S."}],"issued":{"date-parts":[["2018",10]]}}},{"id":"oyfatZRQ/lRQL99m4","uris":["http://zotero.org/users/5226272/items/YRRPGWL5"],"uri":["http://zotero.org/users/5226272/items/YRRPGWL5"],"itemData":{"id":963,"type":"article-journal","container-title":"Journal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J."}],"issued":{"date-parts":[["2016",5]]}}},{"id":"oyfatZRQ/Be07o3Gq","uris":["http://zotero.org/users/5226272/items/U7A6FUTI"],"uri":["http://zotero.org/users/5226272/items/U7A6FUTI"],"itemData":{"id":266,"type":"article-journal","container-title":"Journal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N."}],"issued":{"date-parts":[["2011",7,6]]}}},{"id":"oyfatZRQ/txAOx9H9","uris":["http://zotero.org/users/5226272/items/9YRCDLCG"],"uri":["http://zotero.org/users/5226272/items/9YRCDLCG"],"itemData":{"id":1860,"type":"article-journal","abstract":"Studies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AA19E3">
        <w:t>(Diedrichsen et al., 2010; French et al., 2018; Long et al., 2016; Verstynen and Sabes, 2011; Wood et al., 2020)</w:t>
      </w:r>
      <w:r w:rsidR="004B419E">
        <w:fldChar w:fldCharType="end"/>
      </w:r>
      <w:r w:rsidR="004B419E">
        <w:t xml:space="preserve">. </w:t>
      </w:r>
    </w:p>
    <w:p w14:paraId="4E353B44" w14:textId="77777777" w:rsidR="004B419E" w:rsidRDefault="004B419E" w:rsidP="00407563">
      <w:pPr>
        <w:spacing w:line="480" w:lineRule="auto"/>
        <w:rPr>
          <w:b/>
          <w:bCs/>
        </w:rPr>
      </w:pPr>
    </w:p>
    <w:p w14:paraId="19881302" w14:textId="4F6F781C" w:rsidR="00414CFC" w:rsidRDefault="00105698" w:rsidP="00407563">
      <w:pPr>
        <w:spacing w:line="480" w:lineRule="auto"/>
        <w:rPr>
          <w:b/>
          <w:bCs/>
        </w:rPr>
      </w:pPr>
      <w:r w:rsidRPr="007D3C9C">
        <w:rPr>
          <w:b/>
          <w:bCs/>
        </w:rPr>
        <w:t>Model</w:t>
      </w:r>
      <w:r w:rsidR="00D611DC">
        <w:rPr>
          <w:b/>
          <w:bCs/>
        </w:rPr>
        <w:t>-</w:t>
      </w:r>
      <w:r w:rsidR="008E43A8">
        <w:rPr>
          <w:b/>
          <w:bCs/>
        </w:rPr>
        <w:t>Based Analyses</w:t>
      </w:r>
    </w:p>
    <w:p w14:paraId="4F01DAE0" w14:textId="278A6306"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258B5">
        <w:instrText xml:space="preserve"> ADDIN ZOTERO_ITEM CSL_CITATION {"citationID":"IpNTd3PY","properties":{"formattedCitation":"(Diedrichsen et al., 2010)","plainCitation":"(Diedrichsen et al., 2010)","noteIndex":0},"citationItems":[{"id":"oyfatZRQ/K0YHkse5","uris":["http://zotero.org/users/5226272/items/CGQM3V6N"],"uri":["http://zotero.org/users/5226272/items/CGQM3V6N"],"itemData":{"id":264,"type":"article-journal","container-title":"Journal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258B5">
        <w:instrText xml:space="preserve"> ADDIN ZOTERO_ITEM CSL_CITATION {"citationID":"3S09bp83","properties":{"formattedCitation":"(Verstynen and Sabes, 2011)","plainCitation":"(Verstynen and Sabes, 2011)","noteIndex":0},"citationItems":[{"id":"oyfatZRQ/Be07o3Gq","uris":["http://zotero.org/users/5226272/items/U7A6FUTI"],"uri":["http://zotero.org/users/5226272/items/U7A6FUTI"],"itemData":{"id":266,"type":"article-journal","container-title":"Journal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4CB96B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5258B5">
        <w:instrText xml:space="preserve"> ADDIN ZOTERO_ITEM CSL_CITATION {"citationID":"gygasg2D","properties":{"formattedCitation":"(French et al., 2018; Long et al., 2016)","plainCitation":"(French et al., 2018; Long et al., 2016)","noteIndex":0},"citationItems":[{"id":"oyfatZRQ/8x7P4kGi","uris":["http://zotero.org/users/5226272/items/Z9JRGFSD"],"uri":["http://zotero.org/users/5226272/items/Z9JRGFSD"],"itemData":{"id":234,"type":"article-journal","container-title":"Journal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S."}],"issued":{"date-parts":[["2018",10]]}}},{"id":"oyfatZRQ/lRQL99m4","uris":["http://zotero.org/users/5226272/items/YRRPGWL5"],"uri":["http://zotero.org/users/5226272/items/YRRPGWL5"],"itemData":{"id":963,"type":"article-journal","container-title":"Journal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258B5">
        <w:instrText xml:space="preserve"> ADDIN ZOTERO_ITEM CSL_CITATION {"citationID":"gTDcQ468","properties":{"formattedCitation":"(Diedrichsen et al., 2010)","plainCitation":"(Diedrichsen et al., 2010)","noteIndex":0},"citationItems":[{"id":"oyfatZRQ/K0YHkse5","uris":["http://zotero.org/users/5226272/items/CGQM3V6N"],"uri":["http://zotero.org/users/5226272/items/CGQM3V6N"],"itemData":{"id":264,"type":"article-journal","container-title":"Journal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xml:space="preserve">. In the </w:t>
      </w:r>
      <w:r>
        <w:lastRenderedPageBreak/>
        <w:t>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FD12E6"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FD12E6"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098CB47B" w:rsidR="003427A8" w:rsidRDefault="00FD12E6"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FD12E6"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06C5AE85"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258B5">
        <w:instrText xml:space="preserve"> ADDIN ZOTERO_ITEM CSL_CITATION {"citationID":"KVJhlOdP","properties":{"formattedCitation":"(Diedrichsen et al., 2010)","plainCitation":"(Diedrichsen et al., 2010)","noteIndex":0},"citationItems":[{"id":"oyfatZRQ/K0YHkse5","uris":["http://zotero.org/users/5226272/items/CGQM3V6N"],"uri":["http://zotero.org/users/5226272/items/CGQM3V6N"],"itemData":{"id":264,"type":"article-journal","container-title":"Journal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ACDA76F" w:rsidR="00591F30" w:rsidRDefault="00FD12E6"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2867EF70"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14F2646A" w:rsidR="00591F30" w:rsidRDefault="00FD12E6"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40DB2814" w:rsidR="00507F44" w:rsidRPr="00D539FB" w:rsidRDefault="00FD12E6"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0" w:name="_Hlk37794084"/>
            <m:r>
              <w:rPr>
                <w:rFonts w:ascii="Cambria Math" w:hAnsi="Cambria Math"/>
              </w:rPr>
              <m:t>β</m:t>
            </m:r>
            <w:bookmarkEnd w:id="2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1FD7410B" w:rsidR="00D061A8" w:rsidRPr="008D7F9E" w:rsidRDefault="00345A0C" w:rsidP="00407563">
      <w:pPr>
        <w:spacing w:line="480" w:lineRule="auto"/>
        <w:rPr>
          <w:u w:val="single"/>
        </w:rPr>
      </w:pPr>
      <w:bookmarkStart w:id="2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258B5">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oyfatZRQ/B6Ru6Bqx","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S."}],"issued":{"date-parts":[["2002",1,24]]}}},{"id":"oyfatZRQ/CKbmIynd","uris":["http://zotero.org/users/5226272/items/884495KI"],"uri":["http://zotero.org/users/5226272/items/884495KI"],"itemData":{"id":1448,"type":"article-journal","abstract":"The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oyfatZRQ/Be07o3Gq","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N."}],"issued":{"date-parts":[["2011",7,6]]}}},{"id":"oyfatZRQ/2S6acyv2","uris":["http://zotero.org/users/5226272/items/NCVQD93M"],"uri":["http://zotero.org/users/5226272/items/NCVQD93M"],"itemData":{"id":842,"type":"article-journal","container-title":"Journal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21"/>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50C2FA10" w:rsidR="00284743" w:rsidRDefault="004216BF" w:rsidP="00407563">
      <w:pPr>
        <w:tabs>
          <w:tab w:val="left" w:pos="3510"/>
        </w:tabs>
        <w:spacing w:line="480" w:lineRule="auto"/>
      </w:pPr>
      <w:r>
        <w:t>Model fitting and model selection</w:t>
      </w:r>
      <w:r w:rsidR="00971F0B">
        <w:t>, in conjunction with the described behavioral analyses,</w:t>
      </w:r>
      <w:r>
        <w:t xml:space="preserve"> will </w:t>
      </w:r>
      <w:r w:rsidR="00971F0B">
        <w:t>form</w:t>
      </w:r>
      <w:r>
        <w:t xml:space="preserve"> the basis for our inferences regarding which </w:t>
      </w:r>
      <w:r w:rsidR="00275E07">
        <w:t xml:space="preserve">of the two models (hypotheses) </w:t>
      </w:r>
      <w:r>
        <w:t xml:space="preserve">is </w:t>
      </w:r>
      <w:r w:rsidR="00275E07">
        <w:t xml:space="preserve">more strongly </w:t>
      </w:r>
      <w:r>
        <w:t xml:space="preserve">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w:t>
      </w:r>
      <w:r w:rsidR="00C125D4">
        <w:lastRenderedPageBreak/>
        <w:t xml:space="preserve">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commentRangeStart w:id="22"/>
      <w:del w:id="23" w:author="Hyosub Kim" w:date="2020-05-30T22:49:00Z">
        <w:r w:rsidR="00791B3D" w:rsidDel="000E4428">
          <w:delText>Next, w</w:delText>
        </w:r>
        <w:r w:rsidR="003C6660" w:rsidDel="000E4428">
          <w:delText>e will simulate each model with the fitted parameters as a posterior predictive check</w:delText>
        </w:r>
        <w:r w:rsidR="00791B3D" w:rsidDel="000E4428">
          <w:delText xml:space="preserve">. </w:delText>
        </w:r>
        <w:r w:rsidR="00882248" w:rsidDel="000E4428">
          <w:delText xml:space="preserve">Simulating each model with the individual parameters </w:delText>
        </w:r>
        <w:r w:rsidR="00CC7B76" w:rsidDel="000E4428">
          <w:delText xml:space="preserve">for each condition of the experiment </w:delText>
        </w:r>
        <w:r w:rsidR="00882248" w:rsidDel="000E4428">
          <w:delText xml:space="preserve">should yield similar observations as the empirical data. Therefore, we will </w:delText>
        </w:r>
        <w:r w:rsidR="003C6660" w:rsidDel="000E4428">
          <w:delText>analyze the</w:delText>
        </w:r>
        <w:r w:rsidR="00882248" w:rsidDel="000E4428">
          <w:delText xml:space="preserve"> simulated data</w:delText>
        </w:r>
        <w:r w:rsidR="003C6660" w:rsidDel="000E4428">
          <w:delText xml:space="preserve"> in the same way we will analyze the empirical data. </w:delText>
        </w:r>
        <w:r w:rsidR="00882248" w:rsidDel="000E4428">
          <w:delText>That is</w:delText>
        </w:r>
        <w:r w:rsidR="00CC7B76" w:rsidDel="000E4428">
          <w:delText>,</w:delText>
        </w:r>
        <w:r w:rsidR="00882248" w:rsidDel="000E4428">
          <w:delText xml:space="preserve"> we will statistically</w:delText>
        </w:r>
        <w:r w:rsidR="00CC7B76" w:rsidDel="000E4428">
          <w:delText xml:space="preserve"> analyze the </w:delText>
        </w:r>
        <w:r w:rsidR="00CF21BD" w:rsidDel="000E4428">
          <w:delText>Initial Bias</w:delText>
        </w:r>
        <w:r w:rsidR="0007610C" w:rsidDel="000E4428">
          <w:delText xml:space="preserve">, </w:delText>
        </w:r>
        <w:r w:rsidR="00CF21BD" w:rsidDel="000E4428">
          <w:delText xml:space="preserve">Early Washout </w:delText>
        </w:r>
        <w:r w:rsidR="00CC7B76" w:rsidDel="000E4428">
          <w:delText>and washout rate</w:delText>
        </w:r>
        <w:r w:rsidR="0007610C" w:rsidDel="000E4428">
          <w:delText xml:space="preserve"> values</w:delText>
        </w:r>
        <w:r w:rsidR="00CC7B76" w:rsidDel="000E4428">
          <w:delText xml:space="preserve"> of the simulated data for differences between the conditions. </w:delText>
        </w:r>
      </w:del>
      <w:commentRangeEnd w:id="22"/>
      <w:r w:rsidR="000E4428">
        <w:rPr>
          <w:rStyle w:val="CommentReference"/>
        </w:rPr>
        <w:commentReference w:id="22"/>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w:t>
      </w:r>
      <w:ins w:id="24" w:author="Hyosub Kim" w:date="2020-05-30T23:00:00Z">
        <w:r w:rsidR="00D31F5D">
          <w:t xml:space="preserve">paired </w:t>
        </w:r>
      </w:ins>
      <w:r w:rsidR="000B101F">
        <w:t>t-test</w:t>
      </w:r>
      <w:r w:rsidR="00CC7B76">
        <w:t xml:space="preserve">. </w:t>
      </w:r>
      <w:commentRangeStart w:id="25"/>
      <w:r w:rsidR="00C941D4">
        <w:t>The</w:t>
      </w:r>
      <w:r w:rsidR="00CC7B76">
        <w:t xml:space="preserve"> </w:t>
      </w:r>
      <w:r w:rsidR="00EF6128">
        <w:t>number of subjects best fit by each model</w:t>
      </w:r>
      <w:r w:rsidR="00C941D4">
        <w:t xml:space="preserve"> will be </w:t>
      </w:r>
      <w:r w:rsidR="00971F0B">
        <w:t>visualized in a figure</w:t>
      </w:r>
      <w:r w:rsidR="00D31F5D">
        <w:t>.</w:t>
      </w:r>
      <w:r w:rsidR="000B101F">
        <w:t xml:space="preserve"> </w:t>
      </w:r>
      <w:commentRangeEnd w:id="25"/>
      <w:r w:rsidR="00C941D4">
        <w:rPr>
          <w:rStyle w:val="CommentReference"/>
        </w:rPr>
        <w:commentReference w:id="25"/>
      </w:r>
      <w:ins w:id="26" w:author="Hyosub Kim" w:date="2020-05-30T23:01:00Z">
        <w:r w:rsidR="00D31F5D">
          <w:t>As fits to individual data can be noisy</w:t>
        </w:r>
      </w:ins>
      <w:ins w:id="27" w:author="Hyosub Kim" w:date="2020-05-30T23:03:00Z">
        <w:r w:rsidR="00C941D4">
          <w:t xml:space="preserve"> (cite Wilson and Collins paper)</w:t>
        </w:r>
      </w:ins>
      <w:ins w:id="28" w:author="Hyosub Kim" w:date="2020-05-30T23:01:00Z">
        <w:r w:rsidR="00D31F5D">
          <w:t xml:space="preserve">, we will also calculate AIC scores on fits to the </w:t>
        </w:r>
      </w:ins>
      <w:ins w:id="29" w:author="Hyosub Kim" w:date="2020-05-30T23:06:00Z">
        <w:r w:rsidR="00C941D4">
          <w:t xml:space="preserve">average </w:t>
        </w:r>
      </w:ins>
      <w:ins w:id="30" w:author="Hyosub Kim" w:date="2020-05-30T23:01:00Z">
        <w:r w:rsidR="00D31F5D">
          <w:t>learning functio</w:t>
        </w:r>
      </w:ins>
      <w:ins w:id="31" w:author="Hyosub Kim" w:date="2020-05-30T23:02:00Z">
        <w:r w:rsidR="00D31F5D">
          <w:t>ns across conditions.</w:t>
        </w:r>
      </w:ins>
      <w:ins w:id="32" w:author="Hyosub Kim" w:date="2020-05-30T23:05:00Z">
        <w:r w:rsidR="00C941D4">
          <w:t xml:space="preserve"> To provide confidence intervals on parameter estimates, we will </w:t>
        </w:r>
      </w:ins>
      <w:ins w:id="33" w:author="Hyosub Kim" w:date="2020-05-30T23:07:00Z">
        <w:r w:rsidR="00C941D4">
          <w:t xml:space="preserve">fit </w:t>
        </w:r>
      </w:ins>
      <w:ins w:id="34" w:author="Hyosub Kim" w:date="2020-05-30T23:08:00Z">
        <w:r w:rsidR="00C941D4">
          <w:t>the average learning function for each of</w:t>
        </w:r>
      </w:ins>
      <w:ins w:id="35" w:author="Hyosub Kim" w:date="2020-05-30T23:05:00Z">
        <w:r w:rsidR="00C941D4">
          <w:t xml:space="preserve"> 10,000 </w:t>
        </w:r>
      </w:ins>
      <w:ins w:id="36" w:author="Hyosub Kim" w:date="2020-05-30T23:08:00Z">
        <w:r w:rsidR="00C941D4">
          <w:t>bootstrapped samples and report the</w:t>
        </w:r>
      </w:ins>
      <w:ins w:id="37" w:author="Hyosub Kim" w:date="2020-05-30T23:09:00Z">
        <w:r w:rsidR="00C941D4">
          <w:t xml:space="preserve"> </w:t>
        </w:r>
      </w:ins>
      <w:ins w:id="38" w:author="Hyosub Kim" w:date="2020-05-30T23:10:00Z">
        <w:r w:rsidR="00C941D4">
          <w:t xml:space="preserve">empirical </w:t>
        </w:r>
      </w:ins>
      <w:ins w:id="39" w:author="Hyosub Kim" w:date="2020-05-30T23:09:00Z">
        <w:r w:rsidR="00C941D4">
          <w:t>2.5</w:t>
        </w:r>
        <w:r w:rsidR="00C941D4" w:rsidRPr="00C941D4">
          <w:rPr>
            <w:vertAlign w:val="superscript"/>
          </w:rPr>
          <w:t>th</w:t>
        </w:r>
        <w:r w:rsidR="00C941D4">
          <w:t xml:space="preserve"> and 97.5</w:t>
        </w:r>
        <w:r w:rsidR="00C941D4" w:rsidRPr="00C941D4">
          <w:rPr>
            <w:vertAlign w:val="superscript"/>
          </w:rPr>
          <w:t>th</w:t>
        </w:r>
        <w:r w:rsidR="00C941D4">
          <w:t xml:space="preserve"> </w:t>
        </w:r>
      </w:ins>
      <w:ins w:id="40" w:author="Hyosub Kim" w:date="2020-05-30T23:10:00Z">
        <w:r w:rsidR="00C941D4">
          <w:t xml:space="preserve">percentile values. </w:t>
        </w:r>
      </w:ins>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2099AAA5"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258B5">
        <w:instrText xml:space="preserve"> ADDIN ZOTERO_ITEM CSL_CITATION {"citationID":"lriaCCW2","properties":{"formattedCitation":"(Hardwick et al., 2019; Wilson and Collins, 2019)","plainCitation":"(Hardwick et al., 2019; Wilson and Collins, 2019)","noteIndex":0},"citationItems":[{"id":"oyfatZRQ/qvx2bhis","uris":["http://zotero.org/users/5226272/items/I754ZABL"],"uri":["http://zotero.org/users/5226272/items/I754ZABL"],"itemData":{"id":1796,"type":"article-journal","container-title":"Nature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M."}],"issued":{"date-parts":[["2019",12]]}}},{"id":"oyfatZRQ/7Zwh7a4v","uris":["http://zotero.org/users/5226272/items/SIXV25UW"],"uri":["http://zotero.org/users/5226272/items/SIXV25UW"],"itemData":{"id":1536,"type":"article-journal","abstract":"Computational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w:t>
      </w:r>
      <w:r>
        <w:lastRenderedPageBreak/>
        <w:t xml:space="preserve">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4AC2AE4B"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For the 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w:t>
      </w:r>
      <w:r w:rsidR="00F84330">
        <w:t xml:space="preserve">plus </w:t>
      </w:r>
      <w:r w:rsidR="00800585">
        <w:t>Use-Dependent</w:t>
      </w:r>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407563">
      <w:pPr>
        <w:spacing w:line="480" w:lineRule="auto"/>
      </w:pPr>
    </w:p>
    <w:p w14:paraId="6B4515F9" w14:textId="1C7B7926" w:rsidR="000B101F" w:rsidRDefault="00912883" w:rsidP="00407563">
      <w:pPr>
        <w:spacing w:line="480" w:lineRule="auto"/>
      </w:pPr>
      <w:r>
        <w:t xml:space="preserve">We </w:t>
      </w:r>
      <w:r w:rsidR="000B101F">
        <w:t xml:space="preserve">obtained parameters for model simulation by fitting the models to each individual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much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41D2A819" w:rsidR="000B101F" w:rsidRDefault="000B101F" w:rsidP="00407563">
      <w:pPr>
        <w:spacing w:line="480" w:lineRule="auto"/>
      </w:pPr>
      <w:r>
        <w:t xml:space="preserve">We compared use-dependent biases </w:t>
      </w:r>
      <w:r w:rsidR="00912883">
        <w:t xml:space="preserve">during both </w:t>
      </w:r>
      <w:r w:rsidR="0007610C">
        <w:t>Initial Bias</w:t>
      </w:r>
      <w:r w:rsidR="00443F01">
        <w:t xml:space="preserve"> </w:t>
      </w:r>
      <w:r w:rsidR="00912883">
        <w:t xml:space="preserve">and </w:t>
      </w:r>
      <w:r w:rsidR="0007610C">
        <w:t>E</w:t>
      </w:r>
      <w:r w:rsidR="00912883">
        <w:t>arly Washout (Figure 3C and D). Overall, t</w:t>
      </w:r>
      <w:r>
        <w:t xml:space="preserve">he Strategy </w:t>
      </w:r>
      <w:r w:rsidR="00F84330">
        <w:t xml:space="preserve">plus </w:t>
      </w:r>
      <w:r w:rsidR="00800585">
        <w:t>Use-Dependent</w:t>
      </w:r>
      <w:r>
        <w:t xml:space="preserve"> model predicts</w:t>
      </w:r>
      <w:r w:rsidR="00912883">
        <w:t xml:space="preserve"> more consistent </w:t>
      </w:r>
      <w:r w:rsidR="00800585">
        <w:t xml:space="preserve">use-dependent </w:t>
      </w:r>
      <w:r w:rsidR="00800585">
        <w:lastRenderedPageBreak/>
        <w:t xml:space="preserve">bias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commentRangeStart w:id="41"/>
      <w:r w:rsidR="00912883">
        <w:t xml:space="preserve">The Adaptative Bayesian model predicts </w:t>
      </w:r>
      <w:r w:rsidR="00F66EA9">
        <w:t>slower</w:t>
      </w:r>
      <w:r w:rsidR="00912883">
        <w:t xml:space="preserve"> washout as the conditions are less stable. The Strategy </w:t>
      </w:r>
      <w:r w:rsidR="00F84330">
        <w:t xml:space="preserve">plus </w:t>
      </w:r>
      <w:r w:rsidR="00F368FB">
        <w:t xml:space="preserve">Use-Dependent </w:t>
      </w:r>
      <w:r w:rsidR="00912883">
        <w:t>model predicts a consistent washout rate across conditions.</w:t>
      </w:r>
      <w:r w:rsidR="004216BF">
        <w:t xml:space="preserve"> </w:t>
      </w:r>
      <w:commentRangeEnd w:id="41"/>
      <w:r w:rsidR="00971F0B">
        <w:rPr>
          <w:rStyle w:val="CommentReference"/>
        </w:rPr>
        <w:commentReference w:id="41"/>
      </w:r>
      <w:r w:rsidR="004216BF">
        <w:t xml:space="preserve">Based on these simulations, 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4216BF">
        <w:t xml:space="preserve">; however, if the Strategy </w:t>
      </w:r>
      <w:r w:rsidR="00F84330">
        <w:t xml:space="preserve">plus </w:t>
      </w:r>
      <w:r w:rsidR="004216BF">
        <w:t xml:space="preserve">Use-Dependent model is </w:t>
      </w:r>
      <w:r w:rsidR="00220B35">
        <w:t xml:space="preserve">more </w:t>
      </w:r>
      <w:r w:rsidR="004216BF">
        <w:t xml:space="preserve">appropriate, we will observe </w:t>
      </w:r>
      <w:r w:rsidR="00220B35">
        <w:t xml:space="preserve">an absence of </w:t>
      </w:r>
      <w:r w:rsidR="004216BF">
        <w:t xml:space="preserve">differences between conditions. </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5803791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w:t>
      </w:r>
      <w:r w:rsidR="00AC59AC">
        <w:t>, with 2/3 of these individual also completing the Repeated condition</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Uniform condition </w:t>
      </w:r>
      <w:commentRangeStart w:id="42"/>
      <w:r w:rsidRPr="00217631">
        <w:t>with a mean</w:t>
      </w:r>
      <w:r>
        <w:t xml:space="preserve"> </w:t>
      </w:r>
      <w:ins w:id="43" w:author="Hyosub Kim" w:date="2020-05-30T23:39:00Z">
        <w:r w:rsidR="00AC59AC">
          <w:t>absol</w:t>
        </w:r>
      </w:ins>
      <w:ins w:id="44" w:author="Hyosub Kim" w:date="2020-05-30T23:40:00Z">
        <w:r w:rsidR="00AC59AC">
          <w:t xml:space="preserve">ute </w:t>
        </w:r>
      </w:ins>
      <w:r>
        <w:t>distance</w:t>
      </w:r>
      <w:ins w:id="45" w:author="Hyosub Kim" w:date="2020-05-30T23:40:00Z">
        <w:r w:rsidR="00AC59AC">
          <w:t xml:space="preserve"> of</w:t>
        </w:r>
      </w:ins>
      <w:del w:id="46" w:author="Hyosub Kim" w:date="2020-05-30T23:40:00Z">
        <w:r w:rsidRPr="00510D5B" w:rsidDel="00AC59AC">
          <w:delText xml:space="preserve"> of </w:delText>
        </w:r>
      </w:del>
      <w:ins w:id="47" w:author="Hyosub Kim" w:date="2020-05-30T23:40:00Z">
        <w:r w:rsidR="00AC59AC" w:rsidRPr="00510D5B">
          <w:t xml:space="preserve"> </w:t>
        </w:r>
      </w:ins>
      <w:r w:rsidRPr="00510D5B">
        <w:t xml:space="preserve">4.2 cm </w:t>
      </w:r>
      <w:commentRangeEnd w:id="42"/>
      <w:r w:rsidR="00AC59AC">
        <w:rPr>
          <w:rStyle w:val="CommentReference"/>
        </w:rPr>
        <w:commentReference w:id="42"/>
      </w:r>
      <w:r w:rsidRPr="00510D5B">
        <w:t>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5920D47F" w:rsidR="00717692" w:rsidRDefault="00B94330" w:rsidP="00407563">
      <w:pPr>
        <w:spacing w:line="480" w:lineRule="auto"/>
      </w:pPr>
      <w:r>
        <w:t xml:space="preserve">We have received IRB approval from our university for this project. </w:t>
      </w:r>
      <w:r w:rsidR="00EF6128">
        <w:t>However, a</w:t>
      </w:r>
      <w:r>
        <w:t xml:space="preserve">ll labs have been shut down due to the COVID-19 pandemic. Data collections are ready to be initiated as soon as </w:t>
      </w:r>
      <w:r>
        <w:lastRenderedPageBreak/>
        <w:t>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060B859A" w14:textId="77777777" w:rsidR="009918D7" w:rsidRPr="009918D7" w:rsidRDefault="00F849E4" w:rsidP="009918D7">
      <w:pPr>
        <w:pStyle w:val="Bibliography"/>
      </w:pPr>
      <w:r>
        <w:fldChar w:fldCharType="begin"/>
      </w:r>
      <w:r w:rsidR="00173209">
        <w:instrText xml:space="preserve"> ADDIN ZOTERO_BIBL {"uncited":[],"omitted":[],"custom":[]} CSL_BIBLIOGRAPHY </w:instrText>
      </w:r>
      <w:r>
        <w:fldChar w:fldCharType="separate"/>
      </w:r>
      <w:r w:rsidR="009918D7" w:rsidRPr="009918D7">
        <w:t>Cherry-Allen KM, Statton MA, Celnik PA, Bastian AJ (2018) A dual-learning paradigm simultaneously improves multiple features of gait post-stroke. Neurorehabil Neural Repair 32:810–820.</w:t>
      </w:r>
    </w:p>
    <w:p w14:paraId="031127F0" w14:textId="77777777" w:rsidR="009918D7" w:rsidRPr="009918D7" w:rsidRDefault="009918D7" w:rsidP="009918D7">
      <w:pPr>
        <w:pStyle w:val="Bibliography"/>
      </w:pPr>
      <w:r w:rsidRPr="009918D7">
        <w:t>Classen J, Liepert J, Wise SP, Hallett M, Cohen LG (1998) Rapid plasticity of human cortical movement representation induced by practice. J Neurophysiol 79:1117–1123.</w:t>
      </w:r>
    </w:p>
    <w:p w14:paraId="4435D521" w14:textId="77777777" w:rsidR="009918D7" w:rsidRPr="009918D7" w:rsidRDefault="009918D7" w:rsidP="009918D7">
      <w:pPr>
        <w:pStyle w:val="Bibliography"/>
      </w:pPr>
      <w:r w:rsidRPr="009918D7">
        <w:t>Day KA, Leech KA, Roemmich RT, Bastian AJ (2018) Accelerating locomotor savings in learning: compressing four training days to one. J Neurophysiol 119:2100–2113.</w:t>
      </w:r>
    </w:p>
    <w:p w14:paraId="603E315A" w14:textId="77777777" w:rsidR="009918D7" w:rsidRPr="009918D7" w:rsidRDefault="009918D7" w:rsidP="009918D7">
      <w:pPr>
        <w:pStyle w:val="Bibliography"/>
      </w:pPr>
      <w:r w:rsidRPr="009918D7">
        <w:t>Diedrichsen J, White O, Newman D, Lally N (2010) Use-dependent and error-based learning of motor behaviors. J Neurosci 30:5159–5166.</w:t>
      </w:r>
    </w:p>
    <w:p w14:paraId="4CF835E4" w14:textId="77777777" w:rsidR="009918D7" w:rsidRPr="009918D7" w:rsidRDefault="009918D7" w:rsidP="009918D7">
      <w:pPr>
        <w:pStyle w:val="Bibliography"/>
      </w:pPr>
      <w:r w:rsidRPr="009918D7">
        <w:t>Ernst MO, Banks MS (2002) Humans integrate visual and haptic information in a statistically optimal fashion. Nature 415:429–433.</w:t>
      </w:r>
    </w:p>
    <w:p w14:paraId="693850C1" w14:textId="77777777" w:rsidR="009918D7" w:rsidRPr="009918D7" w:rsidRDefault="009918D7" w:rsidP="009918D7">
      <w:pPr>
        <w:pStyle w:val="Bibliography"/>
      </w:pPr>
      <w:r w:rsidRPr="009918D7">
        <w:t>French MA, Morton SM, Charalambous CC, Reisman DS (2018) A locomotor learning paradigm using distorted visual feedback elicits strategic learning. J Neurophysiol 120:1923–1931.</w:t>
      </w:r>
    </w:p>
    <w:p w14:paraId="307EEFA7" w14:textId="77777777" w:rsidR="009918D7" w:rsidRPr="009918D7" w:rsidRDefault="009918D7" w:rsidP="009918D7">
      <w:pPr>
        <w:pStyle w:val="Bibliography"/>
      </w:pPr>
      <w:r w:rsidRPr="009918D7">
        <w:t>Hammerbeck U, Yousif N, Greenwood R, Rothwell JC, Diedrichsen J (2014) Movement speed is biased by prior experience. Journal of Neurophysiology 111:128–134.</w:t>
      </w:r>
    </w:p>
    <w:p w14:paraId="10BCB6F5" w14:textId="77777777" w:rsidR="009918D7" w:rsidRPr="009918D7" w:rsidRDefault="009918D7" w:rsidP="009918D7">
      <w:pPr>
        <w:pStyle w:val="Bibliography"/>
      </w:pPr>
      <w:r w:rsidRPr="009918D7">
        <w:t>Hardwick RM, Forrence AD, Krakauer JW, Haith AM (2019) Time-dependent competition between goal-directed and habitual response preparation. Nat Hum Behav 3:1252–1262.</w:t>
      </w:r>
    </w:p>
    <w:p w14:paraId="32C38DF3" w14:textId="77777777" w:rsidR="009918D7" w:rsidRPr="009918D7" w:rsidRDefault="009918D7" w:rsidP="009918D7">
      <w:pPr>
        <w:pStyle w:val="Bibliography"/>
      </w:pPr>
      <w:r w:rsidRPr="009918D7">
        <w:t>Holmes AP, Blair RC, Watson JD, Ford I (1996) Nonparametric analysis of statistic images from functional mapping experiments. J Cereb Blood Flow Metab 16:7–22.</w:t>
      </w:r>
    </w:p>
    <w:p w14:paraId="13297EEB" w14:textId="77777777" w:rsidR="009918D7" w:rsidRPr="009918D7" w:rsidRDefault="009918D7" w:rsidP="009918D7">
      <w:pPr>
        <w:pStyle w:val="Bibliography"/>
      </w:pPr>
      <w:r w:rsidRPr="009918D7">
        <w:t>Hussain SJ, Hanson AS, Tseng S-C, Morton SM (2013) A locomotor adaptation including explicit knowledge and removal of postadaptation errors induces complete 24-hour retention. J Neurophysiol 110:916–925.</w:t>
      </w:r>
    </w:p>
    <w:p w14:paraId="39F6B678" w14:textId="77777777" w:rsidR="009918D7" w:rsidRPr="009918D7" w:rsidRDefault="009918D7" w:rsidP="009918D7">
      <w:pPr>
        <w:pStyle w:val="Bibliography"/>
      </w:pPr>
      <w:r w:rsidRPr="009918D7">
        <w:t>Kim S-J, Krebs HI (2012) Effects of implicit visual feedback distortion on human gait. Exp Brain Res 218:495–502.</w:t>
      </w:r>
    </w:p>
    <w:p w14:paraId="48C2DCCE" w14:textId="77777777" w:rsidR="009918D7" w:rsidRPr="009918D7" w:rsidRDefault="009918D7" w:rsidP="009918D7">
      <w:pPr>
        <w:pStyle w:val="Bibliography"/>
      </w:pPr>
      <w:r w:rsidRPr="009918D7">
        <w:t>Kim S-J, Mugisha D (2014) Effect of explicit visual feedback distortion on human gait. J Neuroeng Rehabil 11:74.</w:t>
      </w:r>
    </w:p>
    <w:p w14:paraId="769DA20D" w14:textId="77777777" w:rsidR="009918D7" w:rsidRPr="009918D7" w:rsidRDefault="009918D7" w:rsidP="009918D7">
      <w:pPr>
        <w:pStyle w:val="Bibliography"/>
      </w:pPr>
      <w:r w:rsidRPr="009918D7">
        <w:t>Kitago T, Ryan SL, Mazzoni P, Krakauer JW, Haith AM (2013) Unlearning versus savings in visuomotor adaptation: comparing effects of washout, passage of time, and removal of errors on motor memory. Front Hum Neurosci 7.</w:t>
      </w:r>
    </w:p>
    <w:p w14:paraId="185EB70C" w14:textId="77777777" w:rsidR="009918D7" w:rsidRPr="009918D7" w:rsidRDefault="009918D7" w:rsidP="009918D7">
      <w:pPr>
        <w:pStyle w:val="Bibliography"/>
      </w:pPr>
      <w:r w:rsidRPr="009918D7">
        <w:t>Körding K (2007) Decision Theory: What “Should” the Nervous System Do? Science 318:606–610.</w:t>
      </w:r>
    </w:p>
    <w:p w14:paraId="04A1179D" w14:textId="77777777" w:rsidR="009918D7" w:rsidRPr="009918D7" w:rsidRDefault="009918D7" w:rsidP="009918D7">
      <w:pPr>
        <w:pStyle w:val="Bibliography"/>
      </w:pPr>
      <w:r w:rsidRPr="009918D7">
        <w:t>Lakens D (2017) Equivalence Tests: A Practical Primer for t Tests, Correlations, and Meta-Analyses. Social Psychological and Personality Science.</w:t>
      </w:r>
    </w:p>
    <w:p w14:paraId="331383C1" w14:textId="77777777" w:rsidR="009918D7" w:rsidRPr="009918D7" w:rsidRDefault="009918D7" w:rsidP="009918D7">
      <w:pPr>
        <w:pStyle w:val="Bibliography"/>
      </w:pPr>
      <w:r w:rsidRPr="009918D7">
        <w:t>Lakens D (2013) Calculating and reporting effect sizes to facilitate cumulative science: a practical primer for t-tests and ANOVAs. Front Psychol 4.</w:t>
      </w:r>
    </w:p>
    <w:p w14:paraId="0EB252EA" w14:textId="77777777" w:rsidR="009918D7" w:rsidRPr="009918D7" w:rsidRDefault="009918D7" w:rsidP="009918D7">
      <w:pPr>
        <w:pStyle w:val="Bibliography"/>
      </w:pPr>
      <w:r w:rsidRPr="009918D7">
        <w:t>Leech KA, Roemmich RT, Bastian AJ (2018) Creating flexible motor memories in human walking. Sci Rep 8:94.</w:t>
      </w:r>
    </w:p>
    <w:p w14:paraId="6A239FA4" w14:textId="77777777" w:rsidR="009918D7" w:rsidRPr="009918D7" w:rsidRDefault="009918D7" w:rsidP="009918D7">
      <w:pPr>
        <w:pStyle w:val="Bibliography"/>
      </w:pPr>
      <w:r w:rsidRPr="009918D7">
        <w:t>Long AW, Roemmich RT, Bastian AJ (2016) Blocking trial-by-trial error correction does not interfere with motor learning in human walking. J Neurophysiol 115:2341–2348.</w:t>
      </w:r>
    </w:p>
    <w:p w14:paraId="73B03F1A" w14:textId="77777777" w:rsidR="009918D7" w:rsidRPr="009918D7" w:rsidRDefault="009918D7" w:rsidP="009918D7">
      <w:pPr>
        <w:pStyle w:val="Bibliography"/>
      </w:pPr>
      <w:r w:rsidRPr="009918D7">
        <w:t>Maris E, Oostenveld R (2007) Nonparametric statistical testing of EEG- and MEG-data. Journal of Neuroscience Methods 164:177–190.</w:t>
      </w:r>
    </w:p>
    <w:p w14:paraId="4B71B132" w14:textId="77777777" w:rsidR="009918D7" w:rsidRPr="009918D7" w:rsidRDefault="009918D7" w:rsidP="009918D7">
      <w:pPr>
        <w:pStyle w:val="Bibliography"/>
      </w:pPr>
      <w:r w:rsidRPr="009918D7">
        <w:t>Mawase F, Lopez D, Celnik PA, Haith AM (2018) Movement Repetition Facilitates Response Preparation. Cell Reports 24:801–808.</w:t>
      </w:r>
    </w:p>
    <w:p w14:paraId="63A7A29B" w14:textId="77777777" w:rsidR="009918D7" w:rsidRPr="009918D7" w:rsidRDefault="009918D7" w:rsidP="009918D7">
      <w:pPr>
        <w:pStyle w:val="Bibliography"/>
      </w:pPr>
      <w:r w:rsidRPr="009918D7">
        <w:t>Nichols TE, Holmes AP (2002) Nonparametric permutation tests for functional neuroimaging: A primer with examples. Hum Brain Mapp 15:1–25.</w:t>
      </w:r>
    </w:p>
    <w:p w14:paraId="3115ED2D" w14:textId="77777777" w:rsidR="009918D7" w:rsidRPr="009918D7" w:rsidRDefault="009918D7" w:rsidP="009918D7">
      <w:pPr>
        <w:pStyle w:val="Bibliography"/>
      </w:pPr>
      <w:r w:rsidRPr="009918D7">
        <w:t>Orban de Xivry J-J, Criscimagna-Hemminger SE, Shadmehr R (2011) Contributions of the motor cortex to adaptive control of reaching depend on the perturbation schedule. Cereb Cortex 21:1475–1484.</w:t>
      </w:r>
    </w:p>
    <w:p w14:paraId="31389B29" w14:textId="77777777" w:rsidR="009918D7" w:rsidRPr="009918D7" w:rsidRDefault="009918D7" w:rsidP="009918D7">
      <w:pPr>
        <w:pStyle w:val="Bibliography"/>
      </w:pPr>
      <w:r w:rsidRPr="009918D7">
        <w:lastRenderedPageBreak/>
        <w:t>Schmidt RA, Lee TD (2005) Motor control and learning: A behavioral emphasis, 4th ed, Motor control and learning: A behavioral emphasis, 4th ed. Champaign, IL, US: Human Kinetics.</w:t>
      </w:r>
    </w:p>
    <w:p w14:paraId="63A53621" w14:textId="77777777" w:rsidR="009918D7" w:rsidRPr="009918D7" w:rsidRDefault="009918D7" w:rsidP="009918D7">
      <w:pPr>
        <w:pStyle w:val="Bibliography"/>
      </w:pPr>
      <w:r w:rsidRPr="009918D7">
        <w:t>Statton MA, Toliver A, Bastian AJ (2016) A dual-learning paradigm can simultaneously train multiple characteristics of walking. J Neurophysiol 115:2692–2700.</w:t>
      </w:r>
    </w:p>
    <w:p w14:paraId="541A7FB5" w14:textId="77777777" w:rsidR="009918D7" w:rsidRPr="009918D7" w:rsidRDefault="009918D7" w:rsidP="009918D7">
      <w:pPr>
        <w:pStyle w:val="Bibliography"/>
      </w:pPr>
      <w:r w:rsidRPr="009918D7">
        <w:t>Verstynen T, Sabes PN (2011) How each movement changes the next: an experimental and theoretical study of fast adaptive priors in reaching. J Neurosci 31:10050–10059.</w:t>
      </w:r>
    </w:p>
    <w:p w14:paraId="17A215ED" w14:textId="77777777" w:rsidR="009918D7" w:rsidRPr="009918D7" w:rsidRDefault="009918D7" w:rsidP="009918D7">
      <w:pPr>
        <w:pStyle w:val="Bibliography"/>
      </w:pPr>
      <w:r w:rsidRPr="009918D7">
        <w:t>Wei K, Körding K (2009) Relevance of error: what drives motor adaptation? J Neurophysiol 101:655–664.</w:t>
      </w:r>
    </w:p>
    <w:p w14:paraId="402FF067" w14:textId="77777777" w:rsidR="009918D7" w:rsidRPr="009918D7" w:rsidRDefault="009918D7" w:rsidP="009918D7">
      <w:pPr>
        <w:pStyle w:val="Bibliography"/>
      </w:pPr>
      <w:r w:rsidRPr="009918D7">
        <w:t>Wilson RC, Collins AG (2019) Ten simple rules for the computational modeling of behavioral data. eLife 8:e49547.</w:t>
      </w:r>
    </w:p>
    <w:p w14:paraId="0A2667F4" w14:textId="77777777" w:rsidR="009918D7" w:rsidRPr="009918D7" w:rsidRDefault="009918D7" w:rsidP="009918D7">
      <w:pPr>
        <w:pStyle w:val="Bibliography"/>
      </w:pPr>
      <w:r w:rsidRPr="009918D7">
        <w:t>Wong AL, Goldsmith J, Forrence AD, Haith AM, Krakauer JW (2017) Reaction times can reflect habits rather than computations. Elife 6.</w:t>
      </w:r>
    </w:p>
    <w:p w14:paraId="7E6EA885" w14:textId="77777777" w:rsidR="009918D7" w:rsidRPr="009918D7" w:rsidRDefault="009918D7" w:rsidP="009918D7">
      <w:pPr>
        <w:pStyle w:val="Bibliography"/>
      </w:pPr>
      <w:r w:rsidRPr="009918D7">
        <w:t>Wood J, Kim H, French MA, Reisman DS, Morton SM (2020) Use-Dependent Plasticity Explains Aftereffects in Visually Guided Locomotor Learning of a Novel Step Length Asymmetry. Journal of Neurophysiology.</w:t>
      </w:r>
    </w:p>
    <w:p w14:paraId="7D4BCE92" w14:textId="76FEE97C"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075EF106" w:rsidR="00A54C54" w:rsidRDefault="00A54C54" w:rsidP="00407563">
      <w:pPr>
        <w:spacing w:line="480" w:lineRule="auto"/>
      </w:pPr>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w:t>
      </w:r>
      <w:del w:id="48" w:author="Hyosub Kim" w:date="2020-05-30T23:43:00Z">
        <w:r w:rsidR="001E4289" w:rsidDel="006E30BF">
          <w:delText>not move from</w:delText>
        </w:r>
      </w:del>
      <w:ins w:id="49" w:author="Hyosub Kim" w:date="2020-05-30T23:43:00Z">
        <w:r w:rsidR="006E30BF">
          <w:t>always be at</w:t>
        </w:r>
      </w:ins>
      <w:r w:rsidR="001E4289">
        <w:t xml:space="preserve"> </w:t>
      </w:r>
      <w:r w:rsidR="00AD3EDA">
        <w:t>22% SAI</w:t>
      </w:r>
      <w:ins w:id="50" w:author="Hyosub Kim" w:date="2020-05-30T23:43:00Z">
        <w:r w:rsidR="006E30BF">
          <w:t xml:space="preserve"> during the Learning phase</w:t>
        </w:r>
      </w:ins>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4A458C5F" w:rsidR="00A156A8"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ins w:id="51" w:author="Hyosub Kim" w:date="2020-05-30T23:43:00Z">
        <w:r w:rsidR="006E30BF">
          <w:t xml:space="preserve"> from [prior work/previous experiment/</w:t>
        </w:r>
      </w:ins>
      <w:ins w:id="52" w:author="Hyosub Kim" w:date="2020-05-30T23:44:00Z">
        <w:r w:rsidR="006E30BF">
          <w:t>describe better].</w:t>
        </w:r>
      </w:ins>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commentRangeStart w:id="53"/>
      <w:r w:rsidR="008A49B1">
        <w:t>Learning plateau is the mean SAI of the last 30 strides of the Learning phase</w:t>
      </w:r>
      <w:r>
        <w:t xml:space="preserve"> </w:t>
      </w:r>
      <w:commentRangeEnd w:id="53"/>
      <w:r w:rsidR="006E30BF">
        <w:rPr>
          <w:rStyle w:val="CommentReference"/>
        </w:rPr>
        <w:commentReference w:id="53"/>
      </w:r>
      <w:r>
        <w:t>(</w:t>
      </w:r>
      <w:r w:rsidRPr="00B37452">
        <w:rPr>
          <w:b/>
          <w:bCs/>
        </w:rPr>
        <w:t>B</w:t>
      </w:r>
      <w:r>
        <w:t xml:space="preserve">). </w:t>
      </w:r>
      <w:r w:rsidR="008A49B1">
        <w:t xml:space="preserve">Initial </w:t>
      </w:r>
      <w:r w:rsidR="00CF21BD">
        <w:t xml:space="preserve">Bias </w:t>
      </w:r>
      <w:r w:rsidR="005C22A4">
        <w:t xml:space="preserve">is </w:t>
      </w:r>
      <w:r w:rsidR="008A49B1">
        <w:t>the mean of the first 5 strides of Washout (</w:t>
      </w:r>
      <w:r w:rsidR="008A49B1" w:rsidRPr="008A49B1">
        <w:rPr>
          <w:b/>
          <w:bCs/>
        </w:rPr>
        <w:t>C</w:t>
      </w:r>
      <w:r w:rsidR="008A49B1">
        <w:t xml:space="preserve">) and Early </w:t>
      </w:r>
      <w:r w:rsidR="00CF21BD">
        <w:t>Washout is</w:t>
      </w:r>
      <w:r w:rsidR="008A49B1">
        <w:t xml:space="preserve"> strides 6-30 of the Washout </w:t>
      </w:r>
      <w:r w:rsidR="008A49B1">
        <w:lastRenderedPageBreak/>
        <w:t>phase (</w:t>
      </w:r>
      <w:r w:rsidR="008A49B1" w:rsidRPr="008A49B1">
        <w:rPr>
          <w:b/>
          <w:bCs/>
        </w:rPr>
        <w:t>D</w:t>
      </w:r>
      <w:r w:rsidR="008A49B1">
        <w:t xml:space="preserve">). </w:t>
      </w:r>
      <w:r w:rsidR="00973512">
        <w:t>Filled circles represent the mean and error bars represent one standard deviation</w:t>
      </w:r>
      <w:r w:rsidR="00220B35">
        <w:t xml:space="preserve"> of bootstrapped sample means</w:t>
      </w:r>
      <w:r w:rsidR="00973512">
        <w:t xml:space="preserve">. </w:t>
      </w:r>
    </w:p>
    <w:p w14:paraId="218E3F23" w14:textId="6918E7FF" w:rsidR="00F66EA9" w:rsidRDefault="00F66EA9" w:rsidP="00407563">
      <w:pPr>
        <w:spacing w:line="480" w:lineRule="auto"/>
      </w:pPr>
    </w:p>
    <w:p w14:paraId="5351EFE7" w14:textId="6402F436"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Repeated and Uniform conditions. SAI standard deviation was calculated across the entire Learning phase for each participant for the Repeated and Uniform conditions. </w:t>
      </w:r>
    </w:p>
    <w:p w14:paraId="7B890A02" w14:textId="77777777" w:rsidR="00F66EA9" w:rsidRPr="00A156A8" w:rsidRDefault="00F66EA9" w:rsidP="0051592C"/>
    <w:sectPr w:rsidR="00F66EA9" w:rsidRPr="00A156A8" w:rsidSect="00D539FB">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5-30T18:21:00Z" w:initials="HK">
    <w:p w14:paraId="17126A65" w14:textId="3BFAC2D9" w:rsidR="00D31F5D" w:rsidRDefault="00D31F5D">
      <w:pPr>
        <w:pStyle w:val="CommentText"/>
      </w:pPr>
      <w:r>
        <w:rPr>
          <w:rStyle w:val="CommentReference"/>
        </w:rPr>
        <w:annotationRef/>
      </w:r>
      <w:r>
        <w:t>Add citation(s) back in. I used Zotero on this doc and it just went nuts!</w:t>
      </w:r>
    </w:p>
  </w:comment>
  <w:comment w:id="1" w:author="Hyosub Kim" w:date="2020-05-30T13:48:00Z" w:initials="HK">
    <w:p w14:paraId="41577C09" w14:textId="1475C2D1" w:rsidR="00D31F5D" w:rsidRDefault="00D31F5D">
      <w:pPr>
        <w:pStyle w:val="CommentText"/>
      </w:pPr>
      <w:r>
        <w:rPr>
          <w:rStyle w:val="CommentReference"/>
        </w:rPr>
        <w:annotationRef/>
      </w:r>
      <w:r>
        <w:t>I thought this analogy was more specific and directly related to what we are interested in.</w:t>
      </w:r>
    </w:p>
  </w:comment>
  <w:comment w:id="2" w:author="Hyosub Kim" w:date="2020-05-30T13:51:00Z" w:initials="HK">
    <w:p w14:paraId="68604E39" w14:textId="7D646A45" w:rsidR="00D31F5D" w:rsidRDefault="00D31F5D">
      <w:pPr>
        <w:pStyle w:val="CommentText"/>
      </w:pPr>
      <w:r>
        <w:rPr>
          <w:rStyle w:val="CommentReference"/>
        </w:rPr>
        <w:annotationRef/>
      </w:r>
      <w:r>
        <w:t xml:space="preserve">I’m trying to make even more explicit that the models are our hypotheses. </w:t>
      </w:r>
    </w:p>
  </w:comment>
  <w:comment w:id="15" w:author="Hyosub Kim" w:date="2020-05-30T14:10:00Z" w:initials="HK">
    <w:p w14:paraId="6E44DD46" w14:textId="1C000812" w:rsidR="00D31F5D" w:rsidRDefault="00D31F5D">
      <w:pPr>
        <w:pStyle w:val="CommentText"/>
      </w:pPr>
      <w:r>
        <w:rPr>
          <w:rStyle w:val="CommentReference"/>
        </w:rPr>
        <w:annotationRef/>
      </w:r>
      <w:r>
        <w:t xml:space="preserve">Just got rid of the statement about analyzing data with outliers. It doesn’t make sense if we’re most concerned about across conditions comparisons. </w:t>
      </w:r>
    </w:p>
  </w:comment>
  <w:comment w:id="17" w:author="Hyosub Kim" w:date="2020-05-30T17:33:00Z" w:initials="HK">
    <w:p w14:paraId="7D686BD7" w14:textId="16866915" w:rsidR="00D31F5D" w:rsidRDefault="00D31F5D">
      <w:pPr>
        <w:pStyle w:val="CommentText"/>
      </w:pPr>
      <w:r>
        <w:rPr>
          <w:rStyle w:val="CommentReference"/>
        </w:rPr>
        <w:annotationRef/>
      </w:r>
      <w:r>
        <w:t xml:space="preserve">Clarified above we’re using Bonferroni, so no need to state change in alpha here. </w:t>
      </w:r>
    </w:p>
  </w:comment>
  <w:comment w:id="18" w:author="Hyosub Kim" w:date="2020-05-30T22:45:00Z" w:initials="HK">
    <w:p w14:paraId="78D16AA8" w14:textId="66B60747" w:rsidR="00D31F5D" w:rsidRDefault="00D31F5D">
      <w:pPr>
        <w:pStyle w:val="CommentText"/>
      </w:pPr>
      <w:r>
        <w:rPr>
          <w:rStyle w:val="CommentReference"/>
        </w:rPr>
        <w:annotationRef/>
      </w:r>
      <w:r>
        <w:t xml:space="preserve">Since we just described our main analyses, I thought it made more sense to place power analysis here. </w:t>
      </w:r>
    </w:p>
  </w:comment>
  <w:comment w:id="22" w:author="Hyosub Kim" w:date="2020-05-30T22:49:00Z" w:initials="HK">
    <w:p w14:paraId="27E01AA7" w14:textId="225C2A76" w:rsidR="00D31F5D" w:rsidRDefault="00D31F5D">
      <w:pPr>
        <w:pStyle w:val="CommentText"/>
      </w:pPr>
      <w:r>
        <w:rPr>
          <w:rStyle w:val="CommentReference"/>
        </w:rPr>
        <w:annotationRef/>
      </w:r>
      <w:r>
        <w:t xml:space="preserve">This stuff seems more like a check than a test of which model is better. I suggest we take out. </w:t>
      </w:r>
    </w:p>
  </w:comment>
  <w:comment w:id="25" w:author="Hyosub Kim" w:date="2020-05-30T23:02:00Z" w:initials="HK">
    <w:p w14:paraId="5E6264AE" w14:textId="5BF70F1B" w:rsidR="00C941D4" w:rsidRDefault="00C941D4">
      <w:pPr>
        <w:pStyle w:val="CommentText"/>
      </w:pPr>
      <w:r>
        <w:rPr>
          <w:rStyle w:val="CommentReference"/>
        </w:rPr>
        <w:annotationRef/>
      </w:r>
      <w:r w:rsidR="00971F0B">
        <w:t xml:space="preserve">I took out the chi-squared test </w:t>
      </w:r>
      <w:proofErr w:type="spellStart"/>
      <w:r w:rsidR="00971F0B">
        <w:t>bc</w:t>
      </w:r>
      <w:proofErr w:type="spellEnd"/>
      <w:r w:rsidR="00971F0B">
        <w:t xml:space="preserve"> </w:t>
      </w:r>
      <w:r>
        <w:t xml:space="preserve">I think we need to be more careful regarding all the tests we’re proposing. If we don’t know if we’re correctly powered for them, then we’re going to weaken our case. </w:t>
      </w:r>
    </w:p>
    <w:p w14:paraId="1BE550D8" w14:textId="77777777" w:rsidR="00C941D4" w:rsidRDefault="00C941D4">
      <w:pPr>
        <w:pStyle w:val="CommentText"/>
      </w:pPr>
    </w:p>
    <w:p w14:paraId="2FEBC9FD" w14:textId="1D2D4840" w:rsidR="00C941D4" w:rsidRDefault="00971F0B">
      <w:pPr>
        <w:pStyle w:val="CommentText"/>
      </w:pPr>
      <w:r>
        <w:t>In general, w</w:t>
      </w:r>
      <w:r w:rsidR="00C941D4">
        <w:t xml:space="preserve">e should </w:t>
      </w:r>
      <w:r>
        <w:t xml:space="preserve">prioritize </w:t>
      </w:r>
      <w:r w:rsidR="00C941D4">
        <w:t>focus</w:t>
      </w:r>
      <w:r>
        <w:t>ing</w:t>
      </w:r>
      <w:r w:rsidR="00C941D4">
        <w:t xml:space="preserve"> on main ideas for this round</w:t>
      </w:r>
      <w:r>
        <w:t xml:space="preserve"> and making</w:t>
      </w:r>
      <w:r w:rsidR="00C941D4">
        <w:t xml:space="preserve"> the links between models and analyses as air tight as possible. </w:t>
      </w:r>
    </w:p>
  </w:comment>
  <w:comment w:id="41" w:author="Hyosub Kim" w:date="2020-05-30T23:28:00Z" w:initials="HK">
    <w:p w14:paraId="39AB5C8F" w14:textId="653DDC87" w:rsidR="00971F0B" w:rsidRDefault="00971F0B">
      <w:pPr>
        <w:pStyle w:val="CommentText"/>
      </w:pPr>
      <w:r>
        <w:rPr>
          <w:rStyle w:val="CommentReference"/>
        </w:rPr>
        <w:annotationRef/>
      </w:r>
      <w:r>
        <w:t>Please fix all the instances in which the order of model presentation is inconsistent. If we’re going to start the Intro and Methods with Strat plus UD first, then stick to that convention unless there’s a strong rationale not to. It feels zig-</w:t>
      </w:r>
      <w:proofErr w:type="spellStart"/>
      <w:r>
        <w:t>zaggy</w:t>
      </w:r>
      <w:proofErr w:type="spellEnd"/>
      <w:r>
        <w:t xml:space="preserve"> when reading. </w:t>
      </w:r>
    </w:p>
    <w:p w14:paraId="1BD82A20" w14:textId="77777777" w:rsidR="00971F0B" w:rsidRDefault="00971F0B">
      <w:pPr>
        <w:pStyle w:val="CommentText"/>
      </w:pPr>
    </w:p>
    <w:p w14:paraId="377B3C2C" w14:textId="79A4414C" w:rsidR="00971F0B" w:rsidRDefault="00971F0B">
      <w:pPr>
        <w:pStyle w:val="CommentText"/>
      </w:pPr>
      <w:r>
        <w:t xml:space="preserve">Also, please have a panel for washout rates since we are talking about them here. </w:t>
      </w:r>
    </w:p>
  </w:comment>
  <w:comment w:id="42" w:author="Hyosub Kim" w:date="2020-05-30T23:36:00Z" w:initials="HK">
    <w:p w14:paraId="5C64947C" w14:textId="534D7AD9" w:rsidR="00AC59AC" w:rsidRDefault="00AC59AC">
      <w:pPr>
        <w:pStyle w:val="CommentText"/>
      </w:pPr>
      <w:r>
        <w:rPr>
          <w:rStyle w:val="CommentReference"/>
        </w:rPr>
        <w:annotationRef/>
      </w:r>
      <w:r>
        <w:t xml:space="preserve">  </w:t>
      </w:r>
    </w:p>
  </w:comment>
  <w:comment w:id="53" w:author="Hyosub Kim" w:date="2020-05-30T23:44:00Z" w:initials="HK">
    <w:p w14:paraId="72DF9CC6" w14:textId="01B5DE1D" w:rsidR="006E30BF" w:rsidRDefault="006E30BF">
      <w:pPr>
        <w:pStyle w:val="CommentText"/>
      </w:pPr>
      <w:r>
        <w:rPr>
          <w:rStyle w:val="CommentReference"/>
        </w:rPr>
        <w:annotationRef/>
      </w:r>
      <w:r>
        <w:t xml:space="preserve">Don’t want anymore, </w:t>
      </w:r>
      <w:r>
        <w:t>correct?</w:t>
      </w:r>
      <w:bookmarkStart w:id="54" w:name="_GoBack"/>
      <w:bookmarkEnd w:id="5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26A65" w15:done="0"/>
  <w15:commentEx w15:paraId="41577C09" w15:done="0"/>
  <w15:commentEx w15:paraId="68604E39" w15:done="0"/>
  <w15:commentEx w15:paraId="6E44DD46" w15:done="0"/>
  <w15:commentEx w15:paraId="7D686BD7" w15:done="0"/>
  <w15:commentEx w15:paraId="78D16AA8" w15:done="0"/>
  <w15:commentEx w15:paraId="27E01AA7" w15:done="0"/>
  <w15:commentEx w15:paraId="2FEBC9FD" w15:done="0"/>
  <w15:commentEx w15:paraId="377B3C2C" w15:done="0"/>
  <w15:commentEx w15:paraId="5C64947C" w15:done="0"/>
  <w15:commentEx w15:paraId="72DF9C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AE30" w16cex:dateUtc="2020-05-2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26A65" w16cid:durableId="227D22C7"/>
  <w16cid:commentId w16cid:paraId="41577C09" w16cid:durableId="227CE292"/>
  <w16cid:commentId w16cid:paraId="68604E39" w16cid:durableId="227CE356"/>
  <w16cid:commentId w16cid:paraId="6E44DD46" w16cid:durableId="227CE7CD"/>
  <w16cid:commentId w16cid:paraId="7D686BD7" w16cid:durableId="227D1754"/>
  <w16cid:commentId w16cid:paraId="78D16AA8" w16cid:durableId="227D6087"/>
  <w16cid:commentId w16cid:paraId="27E01AA7" w16cid:durableId="227D6181"/>
  <w16cid:commentId w16cid:paraId="2FEBC9FD" w16cid:durableId="227D6476"/>
  <w16cid:commentId w16cid:paraId="377B3C2C" w16cid:durableId="227D6AAA"/>
  <w16cid:commentId w16cid:paraId="5C64947C" w16cid:durableId="227D6C83"/>
  <w16cid:commentId w16cid:paraId="72DF9CC6" w16cid:durableId="227D6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6BE6F" w14:textId="77777777" w:rsidR="00FD12E6" w:rsidRDefault="00FD12E6" w:rsidP="00930253">
      <w:r>
        <w:separator/>
      </w:r>
    </w:p>
  </w:endnote>
  <w:endnote w:type="continuationSeparator" w:id="0">
    <w:p w14:paraId="07FD38EE" w14:textId="77777777" w:rsidR="00FD12E6" w:rsidRDefault="00FD12E6"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D31F5D" w:rsidRDefault="00D31F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D31F5D" w:rsidRDefault="00D31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9129C" w14:textId="77777777" w:rsidR="00FD12E6" w:rsidRDefault="00FD12E6" w:rsidP="00930253">
      <w:r>
        <w:separator/>
      </w:r>
    </w:p>
  </w:footnote>
  <w:footnote w:type="continuationSeparator" w:id="0">
    <w:p w14:paraId="140E1A55" w14:textId="77777777" w:rsidR="00FD12E6" w:rsidRDefault="00FD12E6"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211E"/>
    <w:rsid w:val="000E4428"/>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D8"/>
    <w:rsid w:val="001A5E58"/>
    <w:rsid w:val="001B5FD4"/>
    <w:rsid w:val="001C1DFC"/>
    <w:rsid w:val="001C484F"/>
    <w:rsid w:val="001D563C"/>
    <w:rsid w:val="001D7E75"/>
    <w:rsid w:val="001E4289"/>
    <w:rsid w:val="001E5F6E"/>
    <w:rsid w:val="001E6C9B"/>
    <w:rsid w:val="001F4AA6"/>
    <w:rsid w:val="001F7857"/>
    <w:rsid w:val="002039BA"/>
    <w:rsid w:val="002040CC"/>
    <w:rsid w:val="002042D8"/>
    <w:rsid w:val="0021405A"/>
    <w:rsid w:val="00217631"/>
    <w:rsid w:val="002207EF"/>
    <w:rsid w:val="00220B35"/>
    <w:rsid w:val="00222CF8"/>
    <w:rsid w:val="002236FB"/>
    <w:rsid w:val="00227A3E"/>
    <w:rsid w:val="00230E3F"/>
    <w:rsid w:val="00230F8A"/>
    <w:rsid w:val="00233FC7"/>
    <w:rsid w:val="00234029"/>
    <w:rsid w:val="002363E1"/>
    <w:rsid w:val="00237BEF"/>
    <w:rsid w:val="002434D8"/>
    <w:rsid w:val="002447EF"/>
    <w:rsid w:val="002502A3"/>
    <w:rsid w:val="0027304B"/>
    <w:rsid w:val="00275E07"/>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59BF"/>
    <w:rsid w:val="002D76AF"/>
    <w:rsid w:val="002E1415"/>
    <w:rsid w:val="002E35EA"/>
    <w:rsid w:val="002F335D"/>
    <w:rsid w:val="002F35F8"/>
    <w:rsid w:val="002F761F"/>
    <w:rsid w:val="003012AC"/>
    <w:rsid w:val="003017B8"/>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54810"/>
    <w:rsid w:val="00362381"/>
    <w:rsid w:val="0036544F"/>
    <w:rsid w:val="00372996"/>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4096"/>
    <w:rsid w:val="00435560"/>
    <w:rsid w:val="004357CE"/>
    <w:rsid w:val="00443F01"/>
    <w:rsid w:val="004525AD"/>
    <w:rsid w:val="00453885"/>
    <w:rsid w:val="00453FA2"/>
    <w:rsid w:val="004613D4"/>
    <w:rsid w:val="00461857"/>
    <w:rsid w:val="00462330"/>
    <w:rsid w:val="0046248A"/>
    <w:rsid w:val="00465960"/>
    <w:rsid w:val="004769D9"/>
    <w:rsid w:val="00481D8C"/>
    <w:rsid w:val="00485262"/>
    <w:rsid w:val="0049425E"/>
    <w:rsid w:val="00497AA2"/>
    <w:rsid w:val="004A0A3B"/>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2131D"/>
    <w:rsid w:val="005258B5"/>
    <w:rsid w:val="00526793"/>
    <w:rsid w:val="00536EB2"/>
    <w:rsid w:val="0053792A"/>
    <w:rsid w:val="00540243"/>
    <w:rsid w:val="00552947"/>
    <w:rsid w:val="0055455E"/>
    <w:rsid w:val="005568E3"/>
    <w:rsid w:val="005624A6"/>
    <w:rsid w:val="00562F80"/>
    <w:rsid w:val="00565ACF"/>
    <w:rsid w:val="00570AA5"/>
    <w:rsid w:val="005735ED"/>
    <w:rsid w:val="00581540"/>
    <w:rsid w:val="00582034"/>
    <w:rsid w:val="00586DF0"/>
    <w:rsid w:val="00591DC0"/>
    <w:rsid w:val="00591F30"/>
    <w:rsid w:val="00593788"/>
    <w:rsid w:val="00595508"/>
    <w:rsid w:val="005A0AC7"/>
    <w:rsid w:val="005A2FC1"/>
    <w:rsid w:val="005A4F63"/>
    <w:rsid w:val="005B0478"/>
    <w:rsid w:val="005B476B"/>
    <w:rsid w:val="005B4FE3"/>
    <w:rsid w:val="005B646C"/>
    <w:rsid w:val="005B694A"/>
    <w:rsid w:val="005B71CE"/>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C28D7"/>
    <w:rsid w:val="006D3860"/>
    <w:rsid w:val="006D67BD"/>
    <w:rsid w:val="006E30BF"/>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49C8"/>
    <w:rsid w:val="007562D9"/>
    <w:rsid w:val="00757D6B"/>
    <w:rsid w:val="0076375E"/>
    <w:rsid w:val="00764145"/>
    <w:rsid w:val="00767FB7"/>
    <w:rsid w:val="00774C81"/>
    <w:rsid w:val="007822D4"/>
    <w:rsid w:val="00787A66"/>
    <w:rsid w:val="00791028"/>
    <w:rsid w:val="00791B3D"/>
    <w:rsid w:val="00794216"/>
    <w:rsid w:val="007A42CC"/>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E505C"/>
    <w:rsid w:val="007F0703"/>
    <w:rsid w:val="007F1BE9"/>
    <w:rsid w:val="007F3390"/>
    <w:rsid w:val="00800585"/>
    <w:rsid w:val="0080062B"/>
    <w:rsid w:val="008046D6"/>
    <w:rsid w:val="00812DE8"/>
    <w:rsid w:val="00820F8C"/>
    <w:rsid w:val="00821264"/>
    <w:rsid w:val="00845358"/>
    <w:rsid w:val="00853000"/>
    <w:rsid w:val="00860256"/>
    <w:rsid w:val="0086160D"/>
    <w:rsid w:val="008626E9"/>
    <w:rsid w:val="008677E3"/>
    <w:rsid w:val="00873381"/>
    <w:rsid w:val="00874CE6"/>
    <w:rsid w:val="00880873"/>
    <w:rsid w:val="008819C3"/>
    <w:rsid w:val="00882248"/>
    <w:rsid w:val="008823C2"/>
    <w:rsid w:val="00891306"/>
    <w:rsid w:val="00894FC9"/>
    <w:rsid w:val="00895680"/>
    <w:rsid w:val="008A098F"/>
    <w:rsid w:val="008A24EB"/>
    <w:rsid w:val="008A49B1"/>
    <w:rsid w:val="008A4C94"/>
    <w:rsid w:val="008A5A99"/>
    <w:rsid w:val="008A69FA"/>
    <w:rsid w:val="008B0D47"/>
    <w:rsid w:val="008C2A4E"/>
    <w:rsid w:val="008C2EFF"/>
    <w:rsid w:val="008C3460"/>
    <w:rsid w:val="008D097F"/>
    <w:rsid w:val="008D6765"/>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2B43"/>
    <w:rsid w:val="009918D7"/>
    <w:rsid w:val="0099386A"/>
    <w:rsid w:val="009A0618"/>
    <w:rsid w:val="009A0ECC"/>
    <w:rsid w:val="009A2D50"/>
    <w:rsid w:val="009B00AF"/>
    <w:rsid w:val="009B3411"/>
    <w:rsid w:val="009B7EFA"/>
    <w:rsid w:val="009C279A"/>
    <w:rsid w:val="009D2251"/>
    <w:rsid w:val="009D3357"/>
    <w:rsid w:val="009E7B65"/>
    <w:rsid w:val="009F0E5F"/>
    <w:rsid w:val="009F5254"/>
    <w:rsid w:val="00A107BD"/>
    <w:rsid w:val="00A156A8"/>
    <w:rsid w:val="00A15F7C"/>
    <w:rsid w:val="00A24826"/>
    <w:rsid w:val="00A27683"/>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C59AC"/>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443B2"/>
    <w:rsid w:val="00C506EF"/>
    <w:rsid w:val="00C56791"/>
    <w:rsid w:val="00C63C4F"/>
    <w:rsid w:val="00C66CEF"/>
    <w:rsid w:val="00C66E3D"/>
    <w:rsid w:val="00C723C8"/>
    <w:rsid w:val="00C74495"/>
    <w:rsid w:val="00C7571B"/>
    <w:rsid w:val="00C86629"/>
    <w:rsid w:val="00C8758E"/>
    <w:rsid w:val="00C901A9"/>
    <w:rsid w:val="00C90D86"/>
    <w:rsid w:val="00C941D4"/>
    <w:rsid w:val="00C948D9"/>
    <w:rsid w:val="00CA15B0"/>
    <w:rsid w:val="00CC7B76"/>
    <w:rsid w:val="00CD354D"/>
    <w:rsid w:val="00CD3C54"/>
    <w:rsid w:val="00CD59A7"/>
    <w:rsid w:val="00CE085A"/>
    <w:rsid w:val="00CE2F32"/>
    <w:rsid w:val="00CE4A03"/>
    <w:rsid w:val="00CE4A9A"/>
    <w:rsid w:val="00CF21BD"/>
    <w:rsid w:val="00CF53EA"/>
    <w:rsid w:val="00CF67D8"/>
    <w:rsid w:val="00CF6962"/>
    <w:rsid w:val="00D00F31"/>
    <w:rsid w:val="00D01A10"/>
    <w:rsid w:val="00D061A8"/>
    <w:rsid w:val="00D105F1"/>
    <w:rsid w:val="00D11B82"/>
    <w:rsid w:val="00D12592"/>
    <w:rsid w:val="00D13F91"/>
    <w:rsid w:val="00D17F24"/>
    <w:rsid w:val="00D21E56"/>
    <w:rsid w:val="00D24F3C"/>
    <w:rsid w:val="00D31F5D"/>
    <w:rsid w:val="00D4325C"/>
    <w:rsid w:val="00D518D1"/>
    <w:rsid w:val="00D539FB"/>
    <w:rsid w:val="00D572C9"/>
    <w:rsid w:val="00D611DC"/>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B7FE7"/>
    <w:rsid w:val="00DC076D"/>
    <w:rsid w:val="00DC1794"/>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198"/>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20C2"/>
    <w:rsid w:val="00F2396E"/>
    <w:rsid w:val="00F242B7"/>
    <w:rsid w:val="00F246B2"/>
    <w:rsid w:val="00F25D25"/>
    <w:rsid w:val="00F315A6"/>
    <w:rsid w:val="00F368FB"/>
    <w:rsid w:val="00F36F78"/>
    <w:rsid w:val="00F43603"/>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70EC"/>
    <w:rsid w:val="00FA0CD2"/>
    <w:rsid w:val="00FA2486"/>
    <w:rsid w:val="00FA3E6A"/>
    <w:rsid w:val="00FB3858"/>
    <w:rsid w:val="00FC2113"/>
    <w:rsid w:val="00FC4149"/>
    <w:rsid w:val="00FC4A30"/>
    <w:rsid w:val="00FD12E6"/>
    <w:rsid w:val="00FD4FA8"/>
    <w:rsid w:val="00FD69F0"/>
    <w:rsid w:val="00FD6A98"/>
    <w:rsid w:val="00FE00C3"/>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C1EA-FB51-8741-801C-3BD8010D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8867</TotalTime>
  <Pages>21</Pages>
  <Words>16771</Words>
  <Characters>95600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110</cp:revision>
  <dcterms:created xsi:type="dcterms:W3CDTF">2020-05-18T20:20:00Z</dcterms:created>
  <dcterms:modified xsi:type="dcterms:W3CDTF">2020-05-31T03:45:00Z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id="oyfatZRQ"/&gt;&lt;style id="http://www.zotero.org/styles/eneuro" hasBibliography="1" bibliographyStyleHasBeenSet="1"/&gt;&lt;prefs&gt;&lt;pref name="fieldType" value="Field"/&gt;&lt;/prefs&gt;&lt;/data&gt;</vt:lpwstr>
  </property>
</Properties>
</file>