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2D02" w14:textId="77777777" w:rsidR="00262248" w:rsidRDefault="00262248" w:rsidP="00262248">
      <w:r w:rsidRPr="00262248">
        <w:t xml:space="preserve">CVSS (Common </w:t>
      </w:r>
      <w:proofErr w:type="spellStart"/>
      <w:r w:rsidRPr="00262248">
        <w:t>Vulnerability</w:t>
      </w:r>
      <w:proofErr w:type="spellEnd"/>
      <w:r w:rsidRPr="00262248">
        <w:t xml:space="preserve"> </w:t>
      </w:r>
      <w:proofErr w:type="spellStart"/>
      <w:r w:rsidRPr="00262248">
        <w:t>Scoring</w:t>
      </w:r>
      <w:proofErr w:type="spellEnd"/>
      <w:r w:rsidRPr="00262248">
        <w:t xml:space="preserve"> System</w:t>
      </w:r>
      <w:r w:rsidR="000D6CDF" w:rsidRPr="00262248">
        <w:t>)</w:t>
      </w:r>
      <w:r w:rsidR="000D6CDF">
        <w:t> :</w:t>
      </w:r>
      <w:r w:rsidRPr="00262248">
        <w:t xml:space="preserve"> </w:t>
      </w:r>
      <w:r>
        <w:t>s</w:t>
      </w:r>
      <w:r w:rsidRPr="00262248">
        <w:t>ystème d’évaluation standardisé de la c</w:t>
      </w:r>
      <w:r>
        <w:t>riticité des vulnérabilités selon des critères objectifs et mesurables</w:t>
      </w:r>
    </w:p>
    <w:p w14:paraId="1F196DCF" w14:textId="77777777" w:rsidR="00262248" w:rsidRDefault="00262248" w:rsidP="00262248">
      <w:r>
        <w:t>Métrique de base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8"/>
        <w:gridCol w:w="5083"/>
        <w:gridCol w:w="590"/>
      </w:tblGrid>
      <w:tr w:rsidR="00262248" w:rsidRPr="00262248" w14:paraId="7F06BAA1" w14:textId="77777777" w:rsidTr="00262248">
        <w:trPr>
          <w:cantSplit/>
        </w:trPr>
        <w:tc>
          <w:tcPr>
            <w:tcW w:w="6941" w:type="dxa"/>
            <w:gridSpan w:val="3"/>
          </w:tcPr>
          <w:p w14:paraId="2D966E00" w14:textId="77777777" w:rsidR="00262248" w:rsidRPr="00262248" w:rsidRDefault="00262248" w:rsidP="00262248">
            <w:pPr>
              <w:jc w:val="center"/>
              <w:rPr>
                <w:b/>
                <w:bCs/>
              </w:rPr>
            </w:pPr>
            <w:r w:rsidRPr="00262248">
              <w:rPr>
                <w:b/>
                <w:bCs/>
              </w:rPr>
              <w:t>Vecteur d’accès</w:t>
            </w:r>
          </w:p>
        </w:tc>
      </w:tr>
      <w:tr w:rsidR="00262248" w14:paraId="3B5BD2D7" w14:textId="77777777" w:rsidTr="00262248">
        <w:trPr>
          <w:cantSplit/>
        </w:trPr>
        <w:tc>
          <w:tcPr>
            <w:tcW w:w="1268" w:type="dxa"/>
          </w:tcPr>
          <w:p w14:paraId="4032C160" w14:textId="77777777" w:rsidR="00262248" w:rsidRDefault="00262248" w:rsidP="00262248">
            <w:r>
              <w:t>Local (L)</w:t>
            </w:r>
          </w:p>
        </w:tc>
        <w:tc>
          <w:tcPr>
            <w:tcW w:w="5083" w:type="dxa"/>
          </w:tcPr>
          <w:p w14:paraId="763168B2" w14:textId="77777777" w:rsidR="00262248" w:rsidRDefault="00262248" w:rsidP="00262248">
            <w:r>
              <w:t>Accès physique ou compte local requis</w:t>
            </w:r>
          </w:p>
        </w:tc>
        <w:tc>
          <w:tcPr>
            <w:tcW w:w="590" w:type="dxa"/>
          </w:tcPr>
          <w:p w14:paraId="608A7949" w14:textId="77777777" w:rsidR="00262248" w:rsidRDefault="00262248" w:rsidP="00262248">
            <w:r>
              <w:t>0,395</w:t>
            </w:r>
          </w:p>
        </w:tc>
      </w:tr>
      <w:tr w:rsidR="00262248" w14:paraId="751448BE" w14:textId="77777777" w:rsidTr="00262248">
        <w:trPr>
          <w:cantSplit/>
        </w:trPr>
        <w:tc>
          <w:tcPr>
            <w:tcW w:w="1268" w:type="dxa"/>
          </w:tcPr>
          <w:p w14:paraId="4CB45C78" w14:textId="77777777" w:rsidR="00262248" w:rsidRDefault="00262248" w:rsidP="00262248">
            <w:r>
              <w:t>Réseau local (A)</w:t>
            </w:r>
          </w:p>
        </w:tc>
        <w:tc>
          <w:tcPr>
            <w:tcW w:w="5083" w:type="dxa"/>
          </w:tcPr>
          <w:p w14:paraId="3E4C43AE" w14:textId="77777777" w:rsidR="00262248" w:rsidRDefault="00262248" w:rsidP="00262248">
            <w:r>
              <w:t>Accès au domaine de diffusion/collision (niveau 2 OSI)</w:t>
            </w:r>
          </w:p>
        </w:tc>
        <w:tc>
          <w:tcPr>
            <w:tcW w:w="590" w:type="dxa"/>
          </w:tcPr>
          <w:p w14:paraId="0ECD4D1F" w14:textId="77777777" w:rsidR="00262248" w:rsidRDefault="00262248" w:rsidP="00262248">
            <w:r>
              <w:t>0,646</w:t>
            </w:r>
          </w:p>
        </w:tc>
      </w:tr>
      <w:tr w:rsidR="00262248" w14:paraId="7215F47F" w14:textId="77777777" w:rsidTr="00262248">
        <w:trPr>
          <w:cantSplit/>
        </w:trPr>
        <w:tc>
          <w:tcPr>
            <w:tcW w:w="1268" w:type="dxa"/>
          </w:tcPr>
          <w:p w14:paraId="2637A0DA" w14:textId="77777777" w:rsidR="00262248" w:rsidRDefault="00262248" w:rsidP="00262248">
            <w:r>
              <w:t>Réseau (N)</w:t>
            </w:r>
          </w:p>
        </w:tc>
        <w:tc>
          <w:tcPr>
            <w:tcW w:w="5083" w:type="dxa"/>
          </w:tcPr>
          <w:p w14:paraId="3F22A08A" w14:textId="77777777" w:rsidR="00262248" w:rsidRDefault="00262248" w:rsidP="00262248">
            <w:r>
              <w:t>Accès niveau 3 OSI ou supérieur, exploitable à distance</w:t>
            </w:r>
          </w:p>
        </w:tc>
        <w:tc>
          <w:tcPr>
            <w:tcW w:w="590" w:type="dxa"/>
          </w:tcPr>
          <w:p w14:paraId="2E75A3B4" w14:textId="77777777" w:rsidR="00262248" w:rsidRDefault="00262248" w:rsidP="00262248">
            <w:r>
              <w:t>1,000</w:t>
            </w:r>
          </w:p>
        </w:tc>
      </w:tr>
      <w:tr w:rsidR="00262248" w14:paraId="0BF12FE9" w14:textId="77777777" w:rsidTr="00262248">
        <w:trPr>
          <w:cantSplit/>
        </w:trPr>
        <w:tc>
          <w:tcPr>
            <w:tcW w:w="6941" w:type="dxa"/>
            <w:gridSpan w:val="3"/>
          </w:tcPr>
          <w:p w14:paraId="4F51B09C" w14:textId="77777777" w:rsidR="00262248" w:rsidRPr="00262248" w:rsidRDefault="00262248" w:rsidP="002622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Complexité d’accès</w:t>
            </w:r>
          </w:p>
        </w:tc>
      </w:tr>
      <w:tr w:rsidR="00262248" w14:paraId="1F6F4B38" w14:textId="77777777" w:rsidTr="00262248">
        <w:trPr>
          <w:cantSplit/>
        </w:trPr>
        <w:tc>
          <w:tcPr>
            <w:tcW w:w="1268" w:type="dxa"/>
          </w:tcPr>
          <w:p w14:paraId="3EC7ABF3" w14:textId="77777777" w:rsidR="00262248" w:rsidRDefault="00262248" w:rsidP="00262248">
            <w:r>
              <w:t>Haut (H)</w:t>
            </w:r>
          </w:p>
        </w:tc>
        <w:tc>
          <w:tcPr>
            <w:tcW w:w="5083" w:type="dxa"/>
          </w:tcPr>
          <w:p w14:paraId="0D1C6CDC" w14:textId="77777777" w:rsidR="00262248" w:rsidRDefault="00262248" w:rsidP="00262248">
            <w:r>
              <w:t>Conditions nécessitant une méthode facilement détectable par du personnel compétent</w:t>
            </w:r>
          </w:p>
        </w:tc>
        <w:tc>
          <w:tcPr>
            <w:tcW w:w="590" w:type="dxa"/>
          </w:tcPr>
          <w:p w14:paraId="1688F6C3" w14:textId="77777777" w:rsidR="00262248" w:rsidRDefault="00262248" w:rsidP="00262248">
            <w:r>
              <w:t>0,350</w:t>
            </w:r>
          </w:p>
        </w:tc>
      </w:tr>
      <w:tr w:rsidR="00262248" w14:paraId="6B40AA41" w14:textId="77777777" w:rsidTr="00262248">
        <w:trPr>
          <w:cantSplit/>
        </w:trPr>
        <w:tc>
          <w:tcPr>
            <w:tcW w:w="1268" w:type="dxa"/>
          </w:tcPr>
          <w:p w14:paraId="0BA5558D" w14:textId="77777777" w:rsidR="00262248" w:rsidRDefault="00262248" w:rsidP="00262248">
            <w:r>
              <w:t>Moyen (M)</w:t>
            </w:r>
          </w:p>
        </w:tc>
        <w:tc>
          <w:tcPr>
            <w:tcW w:w="5083" w:type="dxa"/>
          </w:tcPr>
          <w:p w14:paraId="60CFAA28" w14:textId="77777777" w:rsidR="00262248" w:rsidRDefault="00262248" w:rsidP="00262248">
            <w:r>
              <w:t>Nécessite une configuration non-commune, différente de celle par défaut</w:t>
            </w:r>
          </w:p>
        </w:tc>
        <w:tc>
          <w:tcPr>
            <w:tcW w:w="590" w:type="dxa"/>
          </w:tcPr>
          <w:p w14:paraId="19BFB99E" w14:textId="77777777" w:rsidR="00262248" w:rsidRDefault="00262248" w:rsidP="00262248">
            <w:r>
              <w:t>0,610</w:t>
            </w:r>
          </w:p>
        </w:tc>
      </w:tr>
      <w:tr w:rsidR="00262248" w14:paraId="3FCD72B9" w14:textId="77777777" w:rsidTr="00262248">
        <w:trPr>
          <w:cantSplit/>
        </w:trPr>
        <w:tc>
          <w:tcPr>
            <w:tcW w:w="1268" w:type="dxa"/>
          </w:tcPr>
          <w:p w14:paraId="2AD060DF" w14:textId="77777777" w:rsidR="00262248" w:rsidRDefault="00262248" w:rsidP="00262248">
            <w:r>
              <w:t>Bas (L)</w:t>
            </w:r>
          </w:p>
        </w:tc>
        <w:tc>
          <w:tcPr>
            <w:tcW w:w="5083" w:type="dxa"/>
          </w:tcPr>
          <w:p w14:paraId="17211C29" w14:textId="77777777" w:rsidR="00262248" w:rsidRDefault="00262248" w:rsidP="00262248">
            <w:r>
              <w:t>Configuration par défaut, absence de conditions d’accès particulière</w:t>
            </w:r>
          </w:p>
        </w:tc>
        <w:tc>
          <w:tcPr>
            <w:tcW w:w="590" w:type="dxa"/>
          </w:tcPr>
          <w:p w14:paraId="6C421FDE" w14:textId="77777777" w:rsidR="00262248" w:rsidRDefault="00262248" w:rsidP="00262248">
            <w:r>
              <w:t>0,710</w:t>
            </w:r>
          </w:p>
        </w:tc>
      </w:tr>
      <w:tr w:rsidR="00262248" w14:paraId="4F9863BE" w14:textId="77777777" w:rsidTr="00DC0C4F">
        <w:trPr>
          <w:cantSplit/>
        </w:trPr>
        <w:tc>
          <w:tcPr>
            <w:tcW w:w="6941" w:type="dxa"/>
            <w:gridSpan w:val="3"/>
          </w:tcPr>
          <w:p w14:paraId="47B6EC69" w14:textId="77777777" w:rsidR="00262248" w:rsidRPr="00262248" w:rsidRDefault="00262248" w:rsidP="002622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Authentification</w:t>
            </w:r>
          </w:p>
        </w:tc>
      </w:tr>
      <w:tr w:rsidR="00262248" w14:paraId="651303F5" w14:textId="77777777" w:rsidTr="00262248">
        <w:trPr>
          <w:cantSplit/>
        </w:trPr>
        <w:tc>
          <w:tcPr>
            <w:tcW w:w="1268" w:type="dxa"/>
          </w:tcPr>
          <w:p w14:paraId="24374392" w14:textId="77777777" w:rsidR="00262248" w:rsidRDefault="00262248" w:rsidP="00262248">
            <w:r>
              <w:t>Multiple</w:t>
            </w:r>
          </w:p>
        </w:tc>
        <w:tc>
          <w:tcPr>
            <w:tcW w:w="5083" w:type="dxa"/>
          </w:tcPr>
          <w:p w14:paraId="7727FFD1" w14:textId="77777777" w:rsidR="00262248" w:rsidRDefault="00262248" w:rsidP="00262248">
            <w:r>
              <w:t>L’attaquant doit s’authentifier au moins 2 fois (même si le même authentifiant est utilisé</w:t>
            </w:r>
          </w:p>
        </w:tc>
        <w:tc>
          <w:tcPr>
            <w:tcW w:w="590" w:type="dxa"/>
          </w:tcPr>
          <w:p w14:paraId="548DF594" w14:textId="77777777" w:rsidR="00262248" w:rsidRDefault="00262248" w:rsidP="00262248">
            <w:r>
              <w:t>0,450</w:t>
            </w:r>
          </w:p>
        </w:tc>
      </w:tr>
      <w:tr w:rsidR="00262248" w14:paraId="1B408984" w14:textId="77777777" w:rsidTr="00262248">
        <w:trPr>
          <w:cantSplit/>
        </w:trPr>
        <w:tc>
          <w:tcPr>
            <w:tcW w:w="1268" w:type="dxa"/>
          </w:tcPr>
          <w:p w14:paraId="258BBC00" w14:textId="77777777" w:rsidR="00262248" w:rsidRDefault="00262248" w:rsidP="00262248">
            <w:r>
              <w:t>Simple</w:t>
            </w:r>
          </w:p>
        </w:tc>
        <w:tc>
          <w:tcPr>
            <w:tcW w:w="5083" w:type="dxa"/>
          </w:tcPr>
          <w:p w14:paraId="7CB81859" w14:textId="77777777" w:rsidR="00262248" w:rsidRDefault="00262248" w:rsidP="00262248">
            <w:r>
              <w:t>L’attaquant doit s’authentifier une seule fois</w:t>
            </w:r>
          </w:p>
        </w:tc>
        <w:tc>
          <w:tcPr>
            <w:tcW w:w="590" w:type="dxa"/>
          </w:tcPr>
          <w:p w14:paraId="3D8B120E" w14:textId="77777777" w:rsidR="00262248" w:rsidRDefault="00262248" w:rsidP="00262248">
            <w:r>
              <w:t>0,560</w:t>
            </w:r>
          </w:p>
        </w:tc>
      </w:tr>
      <w:tr w:rsidR="00262248" w14:paraId="77EAFD2D" w14:textId="77777777" w:rsidTr="00262248">
        <w:trPr>
          <w:cantSplit/>
        </w:trPr>
        <w:tc>
          <w:tcPr>
            <w:tcW w:w="1268" w:type="dxa"/>
          </w:tcPr>
          <w:p w14:paraId="15E84C0C" w14:textId="77777777" w:rsidR="00262248" w:rsidRDefault="00262248" w:rsidP="00262248">
            <w:r>
              <w:t>Inexistant</w:t>
            </w:r>
          </w:p>
        </w:tc>
        <w:tc>
          <w:tcPr>
            <w:tcW w:w="5083" w:type="dxa"/>
          </w:tcPr>
          <w:p w14:paraId="0BBA1997" w14:textId="77777777" w:rsidR="00262248" w:rsidRDefault="00262248" w:rsidP="00262248">
            <w:r>
              <w:t>Aucune authentification requise</w:t>
            </w:r>
          </w:p>
        </w:tc>
        <w:tc>
          <w:tcPr>
            <w:tcW w:w="590" w:type="dxa"/>
          </w:tcPr>
          <w:p w14:paraId="7D74764A" w14:textId="77777777" w:rsidR="00262248" w:rsidRDefault="00262248" w:rsidP="00262248">
            <w:r>
              <w:t>0,704</w:t>
            </w:r>
          </w:p>
        </w:tc>
      </w:tr>
    </w:tbl>
    <w:p w14:paraId="0CFF90C6" w14:textId="77777777" w:rsidR="00262248" w:rsidRDefault="000D6CDF" w:rsidP="00262248">
      <w:r>
        <w:t>Métrique d’impact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7"/>
        <w:gridCol w:w="5077"/>
        <w:gridCol w:w="597"/>
      </w:tblGrid>
      <w:tr w:rsidR="000D6CDF" w:rsidRPr="00262248" w14:paraId="18DA54B1" w14:textId="77777777" w:rsidTr="007E5398">
        <w:trPr>
          <w:cantSplit/>
        </w:trPr>
        <w:tc>
          <w:tcPr>
            <w:tcW w:w="6941" w:type="dxa"/>
            <w:gridSpan w:val="3"/>
          </w:tcPr>
          <w:p w14:paraId="4361C549" w14:textId="77777777" w:rsidR="000D6CDF" w:rsidRPr="00262248" w:rsidRDefault="000D6CDF" w:rsidP="007E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Confidentialité</w:t>
            </w:r>
          </w:p>
        </w:tc>
      </w:tr>
      <w:tr w:rsidR="000D6CDF" w14:paraId="30F008F8" w14:textId="77777777" w:rsidTr="000D6CDF">
        <w:trPr>
          <w:cantSplit/>
        </w:trPr>
        <w:tc>
          <w:tcPr>
            <w:tcW w:w="1267" w:type="dxa"/>
          </w:tcPr>
          <w:p w14:paraId="0AEFD59B" w14:textId="77777777" w:rsidR="000D6CDF" w:rsidRDefault="000D6CDF" w:rsidP="007E5398">
            <w:r>
              <w:t>Aucun (N)</w:t>
            </w:r>
          </w:p>
        </w:tc>
        <w:tc>
          <w:tcPr>
            <w:tcW w:w="5077" w:type="dxa"/>
          </w:tcPr>
          <w:p w14:paraId="2DE263D7" w14:textId="77777777" w:rsidR="000D6CDF" w:rsidRDefault="000D6CDF" w:rsidP="007E5398">
            <w:r>
              <w:t>Aucun impact sur la confidentialité</w:t>
            </w:r>
          </w:p>
        </w:tc>
        <w:tc>
          <w:tcPr>
            <w:tcW w:w="597" w:type="dxa"/>
          </w:tcPr>
          <w:p w14:paraId="611D0259" w14:textId="77777777" w:rsidR="000D6CDF" w:rsidRDefault="000D6CDF" w:rsidP="007E5398">
            <w:r>
              <w:t>0,000</w:t>
            </w:r>
          </w:p>
        </w:tc>
      </w:tr>
      <w:tr w:rsidR="000D6CDF" w14:paraId="3B23F55A" w14:textId="77777777" w:rsidTr="000D6CDF">
        <w:trPr>
          <w:cantSplit/>
        </w:trPr>
        <w:tc>
          <w:tcPr>
            <w:tcW w:w="1267" w:type="dxa"/>
          </w:tcPr>
          <w:p w14:paraId="0394D682" w14:textId="77777777" w:rsidR="000D6CDF" w:rsidRDefault="000D6CDF" w:rsidP="007E5398">
            <w:r>
              <w:t>Partiel (P)</w:t>
            </w:r>
          </w:p>
        </w:tc>
        <w:tc>
          <w:tcPr>
            <w:tcW w:w="5077" w:type="dxa"/>
          </w:tcPr>
          <w:p w14:paraId="7FF5E67B" w14:textId="77777777" w:rsidR="000D6CDF" w:rsidRDefault="000D6CDF" w:rsidP="007E5398">
            <w:r>
              <w:t>Seule une partie de l’information est disponible</w:t>
            </w:r>
          </w:p>
        </w:tc>
        <w:tc>
          <w:tcPr>
            <w:tcW w:w="597" w:type="dxa"/>
          </w:tcPr>
          <w:p w14:paraId="1797F1CD" w14:textId="77777777" w:rsidR="000D6CDF" w:rsidRDefault="000D6CDF" w:rsidP="007E5398">
            <w:r>
              <w:t>0,275</w:t>
            </w:r>
          </w:p>
        </w:tc>
      </w:tr>
      <w:tr w:rsidR="000D6CDF" w14:paraId="0396D03F" w14:textId="77777777" w:rsidTr="000D6CDF">
        <w:trPr>
          <w:cantSplit/>
        </w:trPr>
        <w:tc>
          <w:tcPr>
            <w:tcW w:w="1267" w:type="dxa"/>
          </w:tcPr>
          <w:p w14:paraId="6D885A28" w14:textId="77777777" w:rsidR="000D6CDF" w:rsidRDefault="000D6CDF" w:rsidP="007E5398">
            <w:r>
              <w:t>Complet (C)</w:t>
            </w:r>
          </w:p>
        </w:tc>
        <w:tc>
          <w:tcPr>
            <w:tcW w:w="5077" w:type="dxa"/>
          </w:tcPr>
          <w:p w14:paraId="22F78FEB" w14:textId="77777777" w:rsidR="000D6CDF" w:rsidRDefault="000D6CDF" w:rsidP="007E5398">
            <w:r>
              <w:t>Diffusion complète de l’information</w:t>
            </w:r>
          </w:p>
        </w:tc>
        <w:tc>
          <w:tcPr>
            <w:tcW w:w="597" w:type="dxa"/>
          </w:tcPr>
          <w:p w14:paraId="0E58E6B1" w14:textId="77777777" w:rsidR="000D6CDF" w:rsidRDefault="000D6CDF" w:rsidP="007E5398">
            <w:r>
              <w:t>0,660</w:t>
            </w:r>
          </w:p>
        </w:tc>
      </w:tr>
      <w:tr w:rsidR="000D6CDF" w14:paraId="164310C5" w14:textId="77777777" w:rsidTr="007E5398">
        <w:trPr>
          <w:cantSplit/>
        </w:trPr>
        <w:tc>
          <w:tcPr>
            <w:tcW w:w="6941" w:type="dxa"/>
            <w:gridSpan w:val="3"/>
          </w:tcPr>
          <w:p w14:paraId="4BBFC05A" w14:textId="77777777" w:rsidR="000D6CDF" w:rsidRPr="00262248" w:rsidRDefault="000D6CDF" w:rsidP="007E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Intégrité</w:t>
            </w:r>
          </w:p>
        </w:tc>
      </w:tr>
      <w:tr w:rsidR="000D6CDF" w14:paraId="3A6A0C22" w14:textId="77777777" w:rsidTr="000D6CDF">
        <w:trPr>
          <w:cantSplit/>
        </w:trPr>
        <w:tc>
          <w:tcPr>
            <w:tcW w:w="1267" w:type="dxa"/>
          </w:tcPr>
          <w:p w14:paraId="25E70167" w14:textId="77777777" w:rsidR="000D6CDF" w:rsidRDefault="000D6CDF" w:rsidP="007E5398">
            <w:r>
              <w:t>Aucun (N)</w:t>
            </w:r>
          </w:p>
        </w:tc>
        <w:tc>
          <w:tcPr>
            <w:tcW w:w="5077" w:type="dxa"/>
          </w:tcPr>
          <w:p w14:paraId="2A2D89DC" w14:textId="77777777" w:rsidR="000D6CDF" w:rsidRDefault="000D6CDF" w:rsidP="007E5398">
            <w:r>
              <w:t>Aucun impact sur l’intégrité</w:t>
            </w:r>
          </w:p>
        </w:tc>
        <w:tc>
          <w:tcPr>
            <w:tcW w:w="597" w:type="dxa"/>
          </w:tcPr>
          <w:p w14:paraId="300E94AA" w14:textId="77777777" w:rsidR="000D6CDF" w:rsidRDefault="000D6CDF" w:rsidP="007E5398">
            <w:r>
              <w:t>0,000</w:t>
            </w:r>
          </w:p>
        </w:tc>
      </w:tr>
      <w:tr w:rsidR="000D6CDF" w14:paraId="21EF6A27" w14:textId="77777777" w:rsidTr="000D6CDF">
        <w:trPr>
          <w:cantSplit/>
        </w:trPr>
        <w:tc>
          <w:tcPr>
            <w:tcW w:w="1267" w:type="dxa"/>
          </w:tcPr>
          <w:p w14:paraId="11604E0B" w14:textId="77777777" w:rsidR="000D6CDF" w:rsidRDefault="000D6CDF" w:rsidP="007E5398">
            <w:r>
              <w:t>Partiel (P)</w:t>
            </w:r>
          </w:p>
        </w:tc>
        <w:tc>
          <w:tcPr>
            <w:tcW w:w="5077" w:type="dxa"/>
          </w:tcPr>
          <w:p w14:paraId="369EBFBB" w14:textId="77777777" w:rsidR="000D6CDF" w:rsidRDefault="000D6CDF" w:rsidP="007E5398">
            <w:r>
              <w:t>L’étendue de la modification d’intégrité est limitée</w:t>
            </w:r>
          </w:p>
        </w:tc>
        <w:tc>
          <w:tcPr>
            <w:tcW w:w="597" w:type="dxa"/>
          </w:tcPr>
          <w:p w14:paraId="032E4A92" w14:textId="77777777" w:rsidR="000D6CDF" w:rsidRDefault="000D6CDF" w:rsidP="007E5398">
            <w:r>
              <w:t>0,275</w:t>
            </w:r>
          </w:p>
        </w:tc>
      </w:tr>
      <w:tr w:rsidR="000D6CDF" w14:paraId="18CC38E3" w14:textId="77777777" w:rsidTr="000D6CDF">
        <w:trPr>
          <w:cantSplit/>
        </w:trPr>
        <w:tc>
          <w:tcPr>
            <w:tcW w:w="1267" w:type="dxa"/>
          </w:tcPr>
          <w:p w14:paraId="78C82CF7" w14:textId="77777777" w:rsidR="000D6CDF" w:rsidRDefault="000D6CDF" w:rsidP="007E5398">
            <w:r>
              <w:t>Complet (C)</w:t>
            </w:r>
          </w:p>
        </w:tc>
        <w:tc>
          <w:tcPr>
            <w:tcW w:w="5077" w:type="dxa"/>
          </w:tcPr>
          <w:p w14:paraId="3271E58F" w14:textId="77777777" w:rsidR="000D6CDF" w:rsidRDefault="000D6CDF" w:rsidP="007E5398">
            <w:r>
              <w:t>Perte totale d’intégrité</w:t>
            </w:r>
          </w:p>
        </w:tc>
        <w:tc>
          <w:tcPr>
            <w:tcW w:w="597" w:type="dxa"/>
          </w:tcPr>
          <w:p w14:paraId="56807318" w14:textId="77777777" w:rsidR="000D6CDF" w:rsidRDefault="000D6CDF" w:rsidP="007E5398">
            <w:r>
              <w:t>0,660</w:t>
            </w:r>
          </w:p>
        </w:tc>
      </w:tr>
      <w:tr w:rsidR="000D6CDF" w14:paraId="70E39822" w14:textId="77777777" w:rsidTr="007E5398">
        <w:trPr>
          <w:cantSplit/>
        </w:trPr>
        <w:tc>
          <w:tcPr>
            <w:tcW w:w="6941" w:type="dxa"/>
            <w:gridSpan w:val="3"/>
          </w:tcPr>
          <w:p w14:paraId="6DAF15C8" w14:textId="77777777" w:rsidR="000D6CDF" w:rsidRPr="00262248" w:rsidRDefault="000D6CDF" w:rsidP="007E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Disponibilité</w:t>
            </w:r>
          </w:p>
        </w:tc>
      </w:tr>
      <w:tr w:rsidR="000D6CDF" w14:paraId="7C5F7FB5" w14:textId="77777777" w:rsidTr="000D6CDF">
        <w:trPr>
          <w:cantSplit/>
        </w:trPr>
        <w:tc>
          <w:tcPr>
            <w:tcW w:w="1267" w:type="dxa"/>
          </w:tcPr>
          <w:p w14:paraId="66504191" w14:textId="77777777" w:rsidR="000D6CDF" w:rsidRDefault="000D6CDF" w:rsidP="000D6CDF">
            <w:r>
              <w:t>Aucun (N)</w:t>
            </w:r>
          </w:p>
        </w:tc>
        <w:tc>
          <w:tcPr>
            <w:tcW w:w="5077" w:type="dxa"/>
          </w:tcPr>
          <w:p w14:paraId="2FF04333" w14:textId="77777777" w:rsidR="000D6CDF" w:rsidRDefault="000D6CDF" w:rsidP="000D6CDF">
            <w:r>
              <w:t>Aucun impact sur la disponibilité</w:t>
            </w:r>
          </w:p>
        </w:tc>
        <w:tc>
          <w:tcPr>
            <w:tcW w:w="597" w:type="dxa"/>
          </w:tcPr>
          <w:p w14:paraId="2F4EC81B" w14:textId="77777777" w:rsidR="000D6CDF" w:rsidRDefault="000D6CDF" w:rsidP="000D6CDF">
            <w:r>
              <w:t>0,000</w:t>
            </w:r>
          </w:p>
        </w:tc>
      </w:tr>
      <w:tr w:rsidR="000D6CDF" w14:paraId="633B2275" w14:textId="77777777" w:rsidTr="000D6CDF">
        <w:trPr>
          <w:cantSplit/>
        </w:trPr>
        <w:tc>
          <w:tcPr>
            <w:tcW w:w="1267" w:type="dxa"/>
          </w:tcPr>
          <w:p w14:paraId="76B34307" w14:textId="77777777" w:rsidR="000D6CDF" w:rsidRDefault="000D6CDF" w:rsidP="000D6CDF">
            <w:r>
              <w:t>Partiel (P)</w:t>
            </w:r>
          </w:p>
        </w:tc>
        <w:tc>
          <w:tcPr>
            <w:tcW w:w="5077" w:type="dxa"/>
          </w:tcPr>
          <w:p w14:paraId="561F628C" w14:textId="77777777" w:rsidR="000D6CDF" w:rsidRDefault="000D6CDF" w:rsidP="000D6CDF">
            <w:r>
              <w:t>Baisse de performances ou perte de quelques fonctionnalités</w:t>
            </w:r>
          </w:p>
        </w:tc>
        <w:tc>
          <w:tcPr>
            <w:tcW w:w="597" w:type="dxa"/>
          </w:tcPr>
          <w:p w14:paraId="0D146A35" w14:textId="77777777" w:rsidR="000D6CDF" w:rsidRDefault="000D6CDF" w:rsidP="000D6CDF">
            <w:r>
              <w:t>0,275</w:t>
            </w:r>
          </w:p>
        </w:tc>
      </w:tr>
      <w:tr w:rsidR="000D6CDF" w14:paraId="33443656" w14:textId="77777777" w:rsidTr="000D6CDF">
        <w:trPr>
          <w:cantSplit/>
        </w:trPr>
        <w:tc>
          <w:tcPr>
            <w:tcW w:w="1267" w:type="dxa"/>
          </w:tcPr>
          <w:p w14:paraId="6EA5CCF9" w14:textId="77777777" w:rsidR="000D6CDF" w:rsidRDefault="000D6CDF" w:rsidP="000D6CDF">
            <w:r>
              <w:t>Complet (C)</w:t>
            </w:r>
          </w:p>
        </w:tc>
        <w:tc>
          <w:tcPr>
            <w:tcW w:w="5077" w:type="dxa"/>
          </w:tcPr>
          <w:p w14:paraId="69B570EE" w14:textId="77777777" w:rsidR="000D6CDF" w:rsidRDefault="000D6CDF" w:rsidP="000D6CDF">
            <w:r>
              <w:t>Perte totale de disponibilité</w:t>
            </w:r>
          </w:p>
        </w:tc>
        <w:tc>
          <w:tcPr>
            <w:tcW w:w="597" w:type="dxa"/>
          </w:tcPr>
          <w:p w14:paraId="70BA39B1" w14:textId="77777777" w:rsidR="000D6CDF" w:rsidRDefault="000D6CDF" w:rsidP="000D6CDF">
            <w:r>
              <w:t>0,660</w:t>
            </w:r>
          </w:p>
        </w:tc>
      </w:tr>
    </w:tbl>
    <w:p w14:paraId="5AE53E9B" w14:textId="77777777" w:rsidR="000D6CDF" w:rsidRDefault="000D6CDF" w:rsidP="00262248">
      <w:r>
        <w:t>Métrique temporelle : évolue au fil des développements d’exploits et des mesures d’atténuation et correctifs.</w:t>
      </w:r>
    </w:p>
    <w:p w14:paraId="279FB772" w14:textId="77777777" w:rsidR="000D6CDF" w:rsidRDefault="000D6CDF" w:rsidP="00262248">
      <w:r>
        <w:lastRenderedPageBreak/>
        <w:t>Métrique environnementale : mesure subjective du risque dans le contexte par les parties concernées (propre à chaque organisation).</w:t>
      </w:r>
    </w:p>
    <w:p w14:paraId="354D62E9" w14:textId="77777777" w:rsidR="000D6CDF" w:rsidRDefault="000D6CDF" w:rsidP="00262248">
      <w:r>
        <w:t>La mesure CVSS 3.0 prend en compte la métrique du périmètre et de l’interaction utilisateur, et ajoute la prise en charge des privilèges requis dans l’authentification. Elle ajoute la sévérité « Critique » aux niveaux de sévérité CVSS.</w:t>
      </w:r>
    </w:p>
    <w:p w14:paraId="74D85DF5" w14:textId="77777777" w:rsidR="000D6CDF" w:rsidRDefault="00AD48E0" w:rsidP="00262248">
      <w:r>
        <w:t>Association d’un niveau de sévérité à un score CVSS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AD48E0" w:rsidRPr="00AD48E0" w14:paraId="2BD6F9A9" w14:textId="77777777" w:rsidTr="00AD48E0">
        <w:tc>
          <w:tcPr>
            <w:tcW w:w="1304" w:type="dxa"/>
          </w:tcPr>
          <w:p w14:paraId="2B996DA0" w14:textId="77777777" w:rsidR="00AD48E0" w:rsidRPr="00AD48E0" w:rsidRDefault="00AD48E0" w:rsidP="00262248">
            <w:pPr>
              <w:rPr>
                <w:b/>
                <w:bCs/>
              </w:rPr>
            </w:pPr>
            <w:r w:rsidRPr="00AD48E0">
              <w:rPr>
                <w:b/>
                <w:bCs/>
              </w:rPr>
              <w:t>Score CVSS 2.0</w:t>
            </w:r>
          </w:p>
        </w:tc>
        <w:tc>
          <w:tcPr>
            <w:tcW w:w="1304" w:type="dxa"/>
          </w:tcPr>
          <w:p w14:paraId="380F6313" w14:textId="77777777" w:rsidR="00AD48E0" w:rsidRPr="00AD48E0" w:rsidRDefault="00AD48E0" w:rsidP="00262248">
            <w:pPr>
              <w:rPr>
                <w:b/>
                <w:bCs/>
              </w:rPr>
            </w:pPr>
            <w:r w:rsidRPr="00AD48E0">
              <w:rPr>
                <w:b/>
                <w:bCs/>
              </w:rPr>
              <w:t>Sévérité</w:t>
            </w:r>
          </w:p>
        </w:tc>
        <w:tc>
          <w:tcPr>
            <w:tcW w:w="1304" w:type="dxa"/>
          </w:tcPr>
          <w:p w14:paraId="4158A279" w14:textId="77777777" w:rsidR="00AD48E0" w:rsidRPr="00AD48E0" w:rsidRDefault="00AD48E0" w:rsidP="00262248">
            <w:pPr>
              <w:rPr>
                <w:b/>
                <w:bCs/>
              </w:rPr>
            </w:pPr>
            <w:r w:rsidRPr="00AD48E0">
              <w:rPr>
                <w:b/>
                <w:bCs/>
              </w:rPr>
              <w:t>Score CVSS 3.0</w:t>
            </w:r>
          </w:p>
        </w:tc>
        <w:tc>
          <w:tcPr>
            <w:tcW w:w="1304" w:type="dxa"/>
          </w:tcPr>
          <w:p w14:paraId="005DDC3E" w14:textId="77777777" w:rsidR="00AD48E0" w:rsidRPr="00AD48E0" w:rsidRDefault="00AD48E0" w:rsidP="00262248">
            <w:pPr>
              <w:rPr>
                <w:b/>
                <w:bCs/>
              </w:rPr>
            </w:pPr>
            <w:r w:rsidRPr="00AD48E0">
              <w:rPr>
                <w:b/>
                <w:bCs/>
              </w:rPr>
              <w:t>Sévérité</w:t>
            </w:r>
          </w:p>
        </w:tc>
      </w:tr>
      <w:tr w:rsidR="00AD48E0" w14:paraId="4470312A" w14:textId="77777777" w:rsidTr="00AD48E0">
        <w:trPr>
          <w:trHeight w:val="237"/>
        </w:trPr>
        <w:tc>
          <w:tcPr>
            <w:tcW w:w="1304" w:type="dxa"/>
            <w:vMerge w:val="restart"/>
            <w:shd w:val="clear" w:color="auto" w:fill="BF8F00" w:themeFill="accent4" w:themeFillShade="BF"/>
            <w:vAlign w:val="center"/>
          </w:tcPr>
          <w:p w14:paraId="713498A4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0,0 – 3,9</w:t>
            </w:r>
          </w:p>
        </w:tc>
        <w:tc>
          <w:tcPr>
            <w:tcW w:w="1304" w:type="dxa"/>
            <w:vMerge w:val="restart"/>
            <w:shd w:val="clear" w:color="auto" w:fill="BF8F00" w:themeFill="accent4" w:themeFillShade="BF"/>
            <w:vAlign w:val="center"/>
          </w:tcPr>
          <w:p w14:paraId="09D0C86A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Faible</w:t>
            </w:r>
          </w:p>
        </w:tc>
        <w:tc>
          <w:tcPr>
            <w:tcW w:w="1304" w:type="dxa"/>
            <w:shd w:val="clear" w:color="auto" w:fill="BDD6EE" w:themeFill="accent5" w:themeFillTint="66"/>
            <w:vAlign w:val="center"/>
          </w:tcPr>
          <w:p w14:paraId="29A52F4D" w14:textId="77777777" w:rsidR="00AD48E0" w:rsidRDefault="00AD48E0" w:rsidP="00AD48E0">
            <w:r>
              <w:t>0,0</w:t>
            </w:r>
          </w:p>
        </w:tc>
        <w:tc>
          <w:tcPr>
            <w:tcW w:w="1304" w:type="dxa"/>
            <w:shd w:val="clear" w:color="auto" w:fill="BDD6EE" w:themeFill="accent5" w:themeFillTint="66"/>
            <w:vAlign w:val="center"/>
          </w:tcPr>
          <w:p w14:paraId="41145791" w14:textId="77777777" w:rsidR="00AD48E0" w:rsidRDefault="00AD48E0" w:rsidP="00AD48E0">
            <w:r>
              <w:t>Aucun</w:t>
            </w:r>
          </w:p>
        </w:tc>
      </w:tr>
      <w:tr w:rsidR="00AD48E0" w14:paraId="249EA23A" w14:textId="77777777" w:rsidTr="00AD48E0">
        <w:trPr>
          <w:trHeight w:val="237"/>
        </w:trPr>
        <w:tc>
          <w:tcPr>
            <w:tcW w:w="1304" w:type="dxa"/>
            <w:vMerge/>
            <w:shd w:val="clear" w:color="auto" w:fill="BF8F00" w:themeFill="accent4" w:themeFillShade="BF"/>
            <w:vAlign w:val="center"/>
          </w:tcPr>
          <w:p w14:paraId="1F1AE9C8" w14:textId="77777777" w:rsidR="00AD48E0" w:rsidRDefault="00AD48E0" w:rsidP="00AD48E0"/>
        </w:tc>
        <w:tc>
          <w:tcPr>
            <w:tcW w:w="1304" w:type="dxa"/>
            <w:vMerge/>
            <w:shd w:val="clear" w:color="auto" w:fill="BF8F00" w:themeFill="accent4" w:themeFillShade="BF"/>
            <w:vAlign w:val="center"/>
          </w:tcPr>
          <w:p w14:paraId="6687691B" w14:textId="77777777" w:rsidR="00AD48E0" w:rsidRDefault="00AD48E0" w:rsidP="00AD48E0"/>
        </w:tc>
        <w:tc>
          <w:tcPr>
            <w:tcW w:w="1304" w:type="dxa"/>
            <w:shd w:val="clear" w:color="auto" w:fill="FFD966" w:themeFill="accent4" w:themeFillTint="99"/>
            <w:vAlign w:val="center"/>
          </w:tcPr>
          <w:p w14:paraId="73D82DA3" w14:textId="77777777" w:rsidR="00AD48E0" w:rsidRDefault="00AD48E0" w:rsidP="00AD48E0">
            <w:r>
              <w:t>0,1 – 3,9</w:t>
            </w:r>
          </w:p>
        </w:tc>
        <w:tc>
          <w:tcPr>
            <w:tcW w:w="1304" w:type="dxa"/>
            <w:shd w:val="clear" w:color="auto" w:fill="FFD966" w:themeFill="accent4" w:themeFillTint="99"/>
            <w:vAlign w:val="center"/>
          </w:tcPr>
          <w:p w14:paraId="475BB795" w14:textId="77777777" w:rsidR="00AD48E0" w:rsidRDefault="00AD48E0" w:rsidP="00AD48E0">
            <w:r>
              <w:t>Faible</w:t>
            </w:r>
          </w:p>
        </w:tc>
      </w:tr>
      <w:tr w:rsidR="00AD48E0" w14:paraId="133766EA" w14:textId="77777777" w:rsidTr="00AD48E0">
        <w:trPr>
          <w:trHeight w:val="476"/>
        </w:trPr>
        <w:tc>
          <w:tcPr>
            <w:tcW w:w="1304" w:type="dxa"/>
            <w:shd w:val="clear" w:color="auto" w:fill="C45911" w:themeFill="accent2" w:themeFillShade="BF"/>
            <w:vAlign w:val="center"/>
          </w:tcPr>
          <w:p w14:paraId="74C24F67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4,0 – 6,9</w:t>
            </w:r>
          </w:p>
        </w:tc>
        <w:tc>
          <w:tcPr>
            <w:tcW w:w="1304" w:type="dxa"/>
            <w:shd w:val="clear" w:color="auto" w:fill="C45911" w:themeFill="accent2" w:themeFillShade="BF"/>
            <w:vAlign w:val="center"/>
          </w:tcPr>
          <w:p w14:paraId="5D6D156E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Moyen</w:t>
            </w:r>
          </w:p>
        </w:tc>
        <w:tc>
          <w:tcPr>
            <w:tcW w:w="1304" w:type="dxa"/>
            <w:shd w:val="clear" w:color="auto" w:fill="BF8F00" w:themeFill="accent4" w:themeFillShade="BF"/>
            <w:vAlign w:val="center"/>
          </w:tcPr>
          <w:p w14:paraId="3CDC1645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4,0 – 6,9</w:t>
            </w:r>
          </w:p>
        </w:tc>
        <w:tc>
          <w:tcPr>
            <w:tcW w:w="1304" w:type="dxa"/>
            <w:shd w:val="clear" w:color="auto" w:fill="BF8F00" w:themeFill="accent4" w:themeFillShade="BF"/>
            <w:vAlign w:val="center"/>
          </w:tcPr>
          <w:p w14:paraId="624F31D3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Moyen</w:t>
            </w:r>
          </w:p>
        </w:tc>
      </w:tr>
      <w:tr w:rsidR="00AD48E0" w14:paraId="1A5C62EE" w14:textId="77777777" w:rsidTr="00AD48E0">
        <w:trPr>
          <w:trHeight w:val="237"/>
        </w:trPr>
        <w:tc>
          <w:tcPr>
            <w:tcW w:w="1304" w:type="dxa"/>
            <w:vMerge w:val="restart"/>
            <w:shd w:val="clear" w:color="auto" w:fill="C00000"/>
            <w:vAlign w:val="center"/>
          </w:tcPr>
          <w:p w14:paraId="4F73CAC4" w14:textId="77777777" w:rsidR="00AD48E0" w:rsidRDefault="00AD48E0" w:rsidP="00AD48E0">
            <w:r>
              <w:t>7,0 – 10,0</w:t>
            </w:r>
          </w:p>
        </w:tc>
        <w:tc>
          <w:tcPr>
            <w:tcW w:w="1304" w:type="dxa"/>
            <w:vMerge w:val="restart"/>
            <w:shd w:val="clear" w:color="auto" w:fill="C00000"/>
            <w:vAlign w:val="center"/>
          </w:tcPr>
          <w:p w14:paraId="28369E0B" w14:textId="77777777" w:rsidR="00AD48E0" w:rsidRDefault="00AD48E0" w:rsidP="00AD48E0">
            <w:r>
              <w:t>Élevé</w:t>
            </w:r>
          </w:p>
        </w:tc>
        <w:tc>
          <w:tcPr>
            <w:tcW w:w="1304" w:type="dxa"/>
            <w:shd w:val="clear" w:color="auto" w:fill="C45911" w:themeFill="accent2" w:themeFillShade="BF"/>
            <w:vAlign w:val="center"/>
          </w:tcPr>
          <w:p w14:paraId="5259C17E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7,0 – 8,9</w:t>
            </w:r>
          </w:p>
        </w:tc>
        <w:tc>
          <w:tcPr>
            <w:tcW w:w="1304" w:type="dxa"/>
            <w:shd w:val="clear" w:color="auto" w:fill="C45911" w:themeFill="accent2" w:themeFillShade="BF"/>
            <w:vAlign w:val="center"/>
          </w:tcPr>
          <w:p w14:paraId="5860F323" w14:textId="77777777" w:rsidR="00AD48E0" w:rsidRPr="00AD48E0" w:rsidRDefault="00AD48E0" w:rsidP="00AD48E0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Élevé</w:t>
            </w:r>
          </w:p>
        </w:tc>
      </w:tr>
      <w:tr w:rsidR="00AD48E0" w14:paraId="558A7642" w14:textId="77777777" w:rsidTr="00AD48E0">
        <w:trPr>
          <w:trHeight w:val="237"/>
        </w:trPr>
        <w:tc>
          <w:tcPr>
            <w:tcW w:w="1304" w:type="dxa"/>
            <w:vMerge/>
            <w:shd w:val="clear" w:color="auto" w:fill="C00000"/>
            <w:vAlign w:val="center"/>
          </w:tcPr>
          <w:p w14:paraId="654BF670" w14:textId="77777777" w:rsidR="00AD48E0" w:rsidRDefault="00AD48E0" w:rsidP="00AD48E0"/>
        </w:tc>
        <w:tc>
          <w:tcPr>
            <w:tcW w:w="1304" w:type="dxa"/>
            <w:vMerge/>
            <w:shd w:val="clear" w:color="auto" w:fill="C00000"/>
            <w:vAlign w:val="center"/>
          </w:tcPr>
          <w:p w14:paraId="2E3A0673" w14:textId="77777777" w:rsidR="00AD48E0" w:rsidRDefault="00AD48E0" w:rsidP="00AD48E0"/>
        </w:tc>
        <w:tc>
          <w:tcPr>
            <w:tcW w:w="1304" w:type="dxa"/>
            <w:shd w:val="clear" w:color="auto" w:fill="C00000"/>
            <w:vAlign w:val="center"/>
          </w:tcPr>
          <w:p w14:paraId="03162281" w14:textId="77777777" w:rsidR="00AD48E0" w:rsidRDefault="00AD48E0" w:rsidP="00AD48E0">
            <w:r>
              <w:t>9,0 – 10,0</w:t>
            </w:r>
          </w:p>
        </w:tc>
        <w:tc>
          <w:tcPr>
            <w:tcW w:w="1304" w:type="dxa"/>
            <w:shd w:val="clear" w:color="auto" w:fill="C00000"/>
            <w:vAlign w:val="center"/>
          </w:tcPr>
          <w:p w14:paraId="03364F3D" w14:textId="77777777" w:rsidR="00AD48E0" w:rsidRDefault="00AD48E0" w:rsidP="00AD48E0">
            <w:r>
              <w:t>Critique</w:t>
            </w:r>
          </w:p>
        </w:tc>
      </w:tr>
    </w:tbl>
    <w:p w14:paraId="3BE79B10" w14:textId="77777777" w:rsidR="00AD48E0" w:rsidRDefault="00B8626E" w:rsidP="00262248">
      <w:r>
        <w:t>Exemple de réactivité cohérente par rapport aux sévérités CVSS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B8626E" w:rsidRPr="00AD48E0" w14:paraId="287F87DE" w14:textId="77777777" w:rsidTr="00F85CF6">
        <w:tc>
          <w:tcPr>
            <w:tcW w:w="1304" w:type="dxa"/>
          </w:tcPr>
          <w:p w14:paraId="3F3485E3" w14:textId="77777777" w:rsidR="00B8626E" w:rsidRPr="00AD48E0" w:rsidRDefault="00B8626E" w:rsidP="00B8626E">
            <w:pPr>
              <w:rPr>
                <w:b/>
                <w:bCs/>
              </w:rPr>
            </w:pPr>
            <w:r w:rsidRPr="00AD48E0">
              <w:rPr>
                <w:b/>
                <w:bCs/>
              </w:rPr>
              <w:t>Sévérité</w:t>
            </w:r>
          </w:p>
        </w:tc>
        <w:tc>
          <w:tcPr>
            <w:tcW w:w="1304" w:type="dxa"/>
          </w:tcPr>
          <w:p w14:paraId="5D011D78" w14:textId="77777777" w:rsidR="00B8626E" w:rsidRPr="00AD48E0" w:rsidRDefault="00B8626E" w:rsidP="00B8626E">
            <w:pPr>
              <w:rPr>
                <w:b/>
                <w:bCs/>
              </w:rPr>
            </w:pPr>
            <w:r>
              <w:rPr>
                <w:b/>
                <w:bCs/>
              </w:rPr>
              <w:t>Mise à jour</w:t>
            </w:r>
          </w:p>
        </w:tc>
        <w:tc>
          <w:tcPr>
            <w:tcW w:w="1304" w:type="dxa"/>
          </w:tcPr>
          <w:p w14:paraId="0ED473CA" w14:textId="77777777" w:rsidR="00B8626E" w:rsidRPr="00AD48E0" w:rsidRDefault="00B8626E" w:rsidP="00B8626E">
            <w:pPr>
              <w:rPr>
                <w:b/>
                <w:bCs/>
              </w:rPr>
            </w:pPr>
            <w:r w:rsidRPr="00AD48E0">
              <w:rPr>
                <w:b/>
                <w:bCs/>
              </w:rPr>
              <w:t>Sévérité</w:t>
            </w:r>
          </w:p>
        </w:tc>
        <w:tc>
          <w:tcPr>
            <w:tcW w:w="1304" w:type="dxa"/>
          </w:tcPr>
          <w:p w14:paraId="076AD524" w14:textId="77777777" w:rsidR="00B8626E" w:rsidRPr="00AD48E0" w:rsidRDefault="00B8626E" w:rsidP="00B8626E">
            <w:pPr>
              <w:rPr>
                <w:b/>
                <w:bCs/>
              </w:rPr>
            </w:pPr>
            <w:r>
              <w:rPr>
                <w:b/>
                <w:bCs/>
              </w:rPr>
              <w:t>Mise à jour</w:t>
            </w:r>
          </w:p>
        </w:tc>
      </w:tr>
      <w:tr w:rsidR="00B8626E" w14:paraId="29769078" w14:textId="77777777" w:rsidTr="00D66C6E">
        <w:trPr>
          <w:trHeight w:val="237"/>
        </w:trPr>
        <w:tc>
          <w:tcPr>
            <w:tcW w:w="1304" w:type="dxa"/>
            <w:vMerge w:val="restart"/>
            <w:shd w:val="clear" w:color="auto" w:fill="BF8F00" w:themeFill="accent4" w:themeFillShade="BF"/>
            <w:vAlign w:val="center"/>
          </w:tcPr>
          <w:p w14:paraId="3F8C158F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Faible</w:t>
            </w:r>
          </w:p>
        </w:tc>
        <w:tc>
          <w:tcPr>
            <w:tcW w:w="1304" w:type="dxa"/>
            <w:vMerge w:val="restart"/>
            <w:shd w:val="clear" w:color="auto" w:fill="BF8F00" w:themeFill="accent4" w:themeFillShade="BF"/>
            <w:vAlign w:val="center"/>
          </w:tcPr>
          <w:p w14:paraId="7C23D47B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mois</w:t>
            </w:r>
          </w:p>
        </w:tc>
        <w:tc>
          <w:tcPr>
            <w:tcW w:w="1304" w:type="dxa"/>
            <w:shd w:val="clear" w:color="auto" w:fill="BDD6EE" w:themeFill="accent5" w:themeFillTint="66"/>
            <w:vAlign w:val="center"/>
          </w:tcPr>
          <w:p w14:paraId="059B621B" w14:textId="77777777" w:rsidR="00B8626E" w:rsidRDefault="00B8626E" w:rsidP="00B8626E">
            <w:r>
              <w:t>Aucun</w:t>
            </w:r>
          </w:p>
        </w:tc>
        <w:tc>
          <w:tcPr>
            <w:tcW w:w="1304" w:type="dxa"/>
            <w:shd w:val="clear" w:color="auto" w:fill="BDD6EE" w:themeFill="accent5" w:themeFillTint="66"/>
            <w:vAlign w:val="center"/>
          </w:tcPr>
          <w:p w14:paraId="350F5D2E" w14:textId="77777777" w:rsidR="00B8626E" w:rsidRDefault="00B8626E" w:rsidP="00B8626E">
            <w:r>
              <w:t>1 mois</w:t>
            </w:r>
          </w:p>
        </w:tc>
      </w:tr>
      <w:tr w:rsidR="00B8626E" w14:paraId="62021868" w14:textId="77777777" w:rsidTr="00D66C6E">
        <w:trPr>
          <w:trHeight w:val="237"/>
        </w:trPr>
        <w:tc>
          <w:tcPr>
            <w:tcW w:w="1304" w:type="dxa"/>
            <w:vMerge/>
            <w:shd w:val="clear" w:color="auto" w:fill="BF8F00" w:themeFill="accent4" w:themeFillShade="BF"/>
            <w:vAlign w:val="center"/>
          </w:tcPr>
          <w:p w14:paraId="44910E81" w14:textId="77777777" w:rsidR="00B8626E" w:rsidRDefault="00B8626E" w:rsidP="00B8626E"/>
        </w:tc>
        <w:tc>
          <w:tcPr>
            <w:tcW w:w="1304" w:type="dxa"/>
            <w:vMerge/>
            <w:shd w:val="clear" w:color="auto" w:fill="BF8F00" w:themeFill="accent4" w:themeFillShade="BF"/>
            <w:vAlign w:val="center"/>
          </w:tcPr>
          <w:p w14:paraId="0BE64C93" w14:textId="77777777" w:rsidR="00B8626E" w:rsidRDefault="00B8626E" w:rsidP="00B8626E"/>
        </w:tc>
        <w:tc>
          <w:tcPr>
            <w:tcW w:w="1304" w:type="dxa"/>
            <w:shd w:val="clear" w:color="auto" w:fill="FFD966" w:themeFill="accent4" w:themeFillTint="99"/>
            <w:vAlign w:val="center"/>
          </w:tcPr>
          <w:p w14:paraId="1D14517C" w14:textId="77777777" w:rsidR="00B8626E" w:rsidRDefault="00B8626E" w:rsidP="00B8626E">
            <w:r>
              <w:t>Faible</w:t>
            </w:r>
          </w:p>
        </w:tc>
        <w:tc>
          <w:tcPr>
            <w:tcW w:w="1304" w:type="dxa"/>
            <w:shd w:val="clear" w:color="auto" w:fill="FFD966" w:themeFill="accent4" w:themeFillTint="99"/>
            <w:vAlign w:val="center"/>
          </w:tcPr>
          <w:p w14:paraId="2F86D0B9" w14:textId="77777777" w:rsidR="00B8626E" w:rsidRDefault="00B8626E" w:rsidP="00B8626E">
            <w:r>
              <w:t>1 mois</w:t>
            </w:r>
          </w:p>
        </w:tc>
      </w:tr>
      <w:tr w:rsidR="00B8626E" w14:paraId="60821A66" w14:textId="77777777" w:rsidTr="00D66C6E">
        <w:trPr>
          <w:trHeight w:val="476"/>
        </w:trPr>
        <w:tc>
          <w:tcPr>
            <w:tcW w:w="1304" w:type="dxa"/>
            <w:shd w:val="clear" w:color="auto" w:fill="C45911" w:themeFill="accent2" w:themeFillShade="BF"/>
            <w:vAlign w:val="center"/>
          </w:tcPr>
          <w:p w14:paraId="056F2766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Moyen</w:t>
            </w:r>
          </w:p>
        </w:tc>
        <w:tc>
          <w:tcPr>
            <w:tcW w:w="1304" w:type="dxa"/>
            <w:shd w:val="clear" w:color="auto" w:fill="C45911" w:themeFill="accent2" w:themeFillShade="BF"/>
            <w:vAlign w:val="center"/>
          </w:tcPr>
          <w:p w14:paraId="144730D3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semaines</w:t>
            </w:r>
          </w:p>
        </w:tc>
        <w:tc>
          <w:tcPr>
            <w:tcW w:w="1304" w:type="dxa"/>
            <w:shd w:val="clear" w:color="auto" w:fill="BF8F00" w:themeFill="accent4" w:themeFillShade="BF"/>
            <w:vAlign w:val="center"/>
          </w:tcPr>
          <w:p w14:paraId="0A28CE0C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Moyen</w:t>
            </w:r>
          </w:p>
        </w:tc>
        <w:tc>
          <w:tcPr>
            <w:tcW w:w="1304" w:type="dxa"/>
            <w:shd w:val="clear" w:color="auto" w:fill="BF8F00" w:themeFill="accent4" w:themeFillShade="BF"/>
            <w:vAlign w:val="center"/>
          </w:tcPr>
          <w:p w14:paraId="5A754919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semaines</w:t>
            </w:r>
          </w:p>
        </w:tc>
      </w:tr>
      <w:tr w:rsidR="00B8626E" w14:paraId="17F983D2" w14:textId="77777777" w:rsidTr="00D66C6E">
        <w:trPr>
          <w:trHeight w:val="237"/>
        </w:trPr>
        <w:tc>
          <w:tcPr>
            <w:tcW w:w="1304" w:type="dxa"/>
            <w:vMerge w:val="restart"/>
            <w:shd w:val="clear" w:color="auto" w:fill="C00000"/>
            <w:vAlign w:val="center"/>
          </w:tcPr>
          <w:p w14:paraId="7A3B9E7B" w14:textId="77777777" w:rsidR="00B8626E" w:rsidRDefault="00B8626E" w:rsidP="00B8626E">
            <w:r>
              <w:t>Élevé</w:t>
            </w:r>
          </w:p>
        </w:tc>
        <w:tc>
          <w:tcPr>
            <w:tcW w:w="1304" w:type="dxa"/>
            <w:vMerge w:val="restart"/>
            <w:shd w:val="clear" w:color="auto" w:fill="C00000"/>
            <w:vAlign w:val="center"/>
          </w:tcPr>
          <w:p w14:paraId="5C3BD64F" w14:textId="77777777" w:rsidR="00B8626E" w:rsidRDefault="00B8626E" w:rsidP="00B8626E">
            <w:r>
              <w:t>3 jours</w:t>
            </w:r>
          </w:p>
        </w:tc>
        <w:tc>
          <w:tcPr>
            <w:tcW w:w="1304" w:type="dxa"/>
            <w:shd w:val="clear" w:color="auto" w:fill="C45911" w:themeFill="accent2" w:themeFillShade="BF"/>
            <w:vAlign w:val="center"/>
          </w:tcPr>
          <w:p w14:paraId="7E9977D3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 w:rsidRPr="00AD48E0">
              <w:rPr>
                <w:color w:val="FFFFFF" w:themeColor="background1"/>
              </w:rPr>
              <w:t>Élevé</w:t>
            </w:r>
          </w:p>
        </w:tc>
        <w:tc>
          <w:tcPr>
            <w:tcW w:w="1304" w:type="dxa"/>
            <w:shd w:val="clear" w:color="auto" w:fill="C45911" w:themeFill="accent2" w:themeFillShade="BF"/>
            <w:vAlign w:val="center"/>
          </w:tcPr>
          <w:p w14:paraId="6096E5C4" w14:textId="77777777" w:rsidR="00B8626E" w:rsidRPr="00AD48E0" w:rsidRDefault="00B8626E" w:rsidP="00B862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semaine</w:t>
            </w:r>
          </w:p>
        </w:tc>
      </w:tr>
      <w:tr w:rsidR="00B8626E" w14:paraId="61071D01" w14:textId="77777777" w:rsidTr="00D66C6E">
        <w:trPr>
          <w:trHeight w:val="237"/>
        </w:trPr>
        <w:tc>
          <w:tcPr>
            <w:tcW w:w="1304" w:type="dxa"/>
            <w:vMerge/>
            <w:shd w:val="clear" w:color="auto" w:fill="C00000"/>
            <w:vAlign w:val="center"/>
          </w:tcPr>
          <w:p w14:paraId="5A42CD2E" w14:textId="77777777" w:rsidR="00B8626E" w:rsidRDefault="00B8626E" w:rsidP="00B8626E"/>
        </w:tc>
        <w:tc>
          <w:tcPr>
            <w:tcW w:w="1304" w:type="dxa"/>
            <w:vMerge/>
            <w:shd w:val="clear" w:color="auto" w:fill="C00000"/>
            <w:vAlign w:val="center"/>
          </w:tcPr>
          <w:p w14:paraId="4FC638E6" w14:textId="77777777" w:rsidR="00B8626E" w:rsidRDefault="00B8626E" w:rsidP="00B8626E"/>
        </w:tc>
        <w:tc>
          <w:tcPr>
            <w:tcW w:w="1304" w:type="dxa"/>
            <w:shd w:val="clear" w:color="auto" w:fill="C00000"/>
            <w:vAlign w:val="center"/>
          </w:tcPr>
          <w:p w14:paraId="0281AB92" w14:textId="77777777" w:rsidR="00B8626E" w:rsidRDefault="00B8626E" w:rsidP="00B8626E">
            <w:r>
              <w:t>Critique</w:t>
            </w:r>
          </w:p>
        </w:tc>
        <w:tc>
          <w:tcPr>
            <w:tcW w:w="1304" w:type="dxa"/>
            <w:shd w:val="clear" w:color="auto" w:fill="C00000"/>
            <w:vAlign w:val="center"/>
          </w:tcPr>
          <w:p w14:paraId="439FB59D" w14:textId="77777777" w:rsidR="00B8626E" w:rsidRDefault="00B8626E" w:rsidP="00B8626E">
            <w:r>
              <w:t>3 jours</w:t>
            </w:r>
          </w:p>
        </w:tc>
      </w:tr>
    </w:tbl>
    <w:p w14:paraId="68F09F74" w14:textId="77777777" w:rsidR="00B8626E" w:rsidRDefault="00B8626E" w:rsidP="00262248"/>
    <w:sectPr w:rsidR="00B8626E" w:rsidSect="00FB03C3">
      <w:headerReference w:type="default" r:id="rId8"/>
      <w:footerReference w:type="default" r:id="rId9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F882C" w14:textId="77777777" w:rsidR="00E4592C" w:rsidRDefault="00E4592C" w:rsidP="00C6380C">
      <w:r>
        <w:separator/>
      </w:r>
    </w:p>
    <w:p w14:paraId="2D77C080" w14:textId="77777777" w:rsidR="00E4592C" w:rsidRDefault="00E4592C" w:rsidP="00C6380C"/>
  </w:endnote>
  <w:endnote w:type="continuationSeparator" w:id="0">
    <w:p w14:paraId="0F348B80" w14:textId="77777777" w:rsidR="00E4592C" w:rsidRDefault="00E4592C" w:rsidP="00C6380C">
      <w:r>
        <w:continuationSeparator/>
      </w:r>
    </w:p>
    <w:p w14:paraId="6DD8702F" w14:textId="77777777" w:rsidR="00E4592C" w:rsidRDefault="00E4592C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1A8551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29793AEF" w14:textId="77777777" w:rsidR="008C12CC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B29DE" w14:textId="77777777" w:rsidR="00E4592C" w:rsidRDefault="00E4592C" w:rsidP="00C6380C">
      <w:r>
        <w:separator/>
      </w:r>
    </w:p>
    <w:p w14:paraId="1FD1ECB6" w14:textId="77777777" w:rsidR="00E4592C" w:rsidRDefault="00E4592C" w:rsidP="00C6380C"/>
  </w:footnote>
  <w:footnote w:type="continuationSeparator" w:id="0">
    <w:p w14:paraId="75F1D441" w14:textId="77777777" w:rsidR="00E4592C" w:rsidRDefault="00E4592C" w:rsidP="00C6380C">
      <w:r>
        <w:continuationSeparator/>
      </w:r>
    </w:p>
    <w:p w14:paraId="5968B766" w14:textId="77777777" w:rsidR="00E4592C" w:rsidRDefault="00E4592C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D792B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49D40E9D" wp14:editId="67418303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574BEC18" wp14:editId="16AD450A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0CE25A3" w14:textId="77777777" w:rsidR="00C6380C" w:rsidRPr="00C6380C" w:rsidRDefault="00262248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Scores CVSS</w:t>
        </w:r>
      </w:p>
    </w:sdtContent>
  </w:sdt>
  <w:p w14:paraId="0F86AED7" w14:textId="5796EAA5" w:rsidR="008C12CC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dataBinding w:prefixMappings="xmlns:ns0='http://schemas.microsoft.com/office/2006/coverPageProps' " w:xpath="/ns0:CoverPageProperties[1]/ns0:PublishDate[1]" w:storeItemID="{55AF091B-3C7A-41E3-B477-F2FDAA23CFDA}"/>
        <w:date w:fullDate="2019-07-27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262248">
          <w:rPr>
            <w:rFonts w:ascii="Consolas" w:hAnsi="Consolas"/>
            <w:sz w:val="16"/>
            <w:szCs w:val="16"/>
          </w:rPr>
          <w:t>27/07/2019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62248">
          <w:rPr>
            <w:rFonts w:ascii="Consolas" w:hAnsi="Consolas"/>
            <w:sz w:val="16"/>
            <w:szCs w:val="16"/>
          </w:rPr>
          <w:t>Jimmy</w:t>
        </w:r>
        <w:r w:rsidR="00837DF2">
          <w:rPr>
            <w:rFonts w:ascii="Consolas" w:hAnsi="Consolas"/>
            <w:sz w:val="16"/>
            <w:szCs w:val="16"/>
          </w:rPr>
          <w:t xml:space="preserve"> Poirier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76AC"/>
    <w:multiLevelType w:val="hybridMultilevel"/>
    <w:tmpl w:val="AC280A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2AF2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48"/>
    <w:rsid w:val="00023A77"/>
    <w:rsid w:val="000656CD"/>
    <w:rsid w:val="000D6CDF"/>
    <w:rsid w:val="00262248"/>
    <w:rsid w:val="002B1B07"/>
    <w:rsid w:val="004050DA"/>
    <w:rsid w:val="004A58E5"/>
    <w:rsid w:val="00757503"/>
    <w:rsid w:val="007B6C60"/>
    <w:rsid w:val="00837DF2"/>
    <w:rsid w:val="008C12CC"/>
    <w:rsid w:val="00982295"/>
    <w:rsid w:val="00AD48E0"/>
    <w:rsid w:val="00B8626E"/>
    <w:rsid w:val="00BC7476"/>
    <w:rsid w:val="00C6377E"/>
    <w:rsid w:val="00C6380C"/>
    <w:rsid w:val="00CC409D"/>
    <w:rsid w:val="00D44144"/>
    <w:rsid w:val="00E4592C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2C55A"/>
  <w15:chartTrackingRefBased/>
  <w15:docId w15:val="{23E7D0B3-1EC7-4F1B-88DB-30DD3A4D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paragraph" w:styleId="Paragraphedeliste">
    <w:name w:val="List Paragraph"/>
    <w:basedOn w:val="Normal"/>
    <w:uiPriority w:val="34"/>
    <w:qFormat/>
    <w:rsid w:val="002622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%20persos\Documents\Mod&#232;les%20de%20documents\Templates%20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37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Scores CVSS</dc:title>
  <dc:subject/>
  <dc:creator>Jimmy Poirier</dc:creator>
  <cp:keywords/>
  <dc:description/>
  <cp:lastModifiedBy>Jimmy</cp:lastModifiedBy>
  <cp:revision>2</cp:revision>
  <dcterms:created xsi:type="dcterms:W3CDTF">2019-07-27T12:11:00Z</dcterms:created>
  <dcterms:modified xsi:type="dcterms:W3CDTF">2019-07-27T13:10:00Z</dcterms:modified>
</cp:coreProperties>
</file>