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43567" w14:textId="77777777" w:rsidR="00A5034F" w:rsidRPr="00AD08B2" w:rsidRDefault="00A5034F" w:rsidP="00A5034F">
      <w:pPr>
        <w:spacing w:line="276" w:lineRule="auto"/>
        <w:jc w:val="right"/>
        <w:outlineLvl w:val="0"/>
        <w:rPr>
          <w:rFonts w:ascii="Times New Roman" w:eastAsia="바탕" w:hAnsi="Times New Roman" w:cs="Times New Roman"/>
        </w:rPr>
      </w:pPr>
      <w:r>
        <w:rPr>
          <w:rFonts w:ascii="Times New Roman" w:eastAsia="바탕" w:hAnsi="Times New Roman" w:cs="Times New Roman"/>
        </w:rPr>
        <w:t xml:space="preserve">       </w:t>
      </w:r>
      <w:r>
        <w:rPr>
          <w:rFonts w:ascii="Times New Roman" w:eastAsia="바탕" w:hAnsi="Times New Roman" w:cs="Times New Roman"/>
        </w:rPr>
        <w:tab/>
      </w:r>
      <w:r>
        <w:rPr>
          <w:rFonts w:ascii="Times New Roman" w:eastAsia="바탕" w:hAnsi="Times New Roman" w:cs="Times New Roman"/>
        </w:rPr>
        <w:tab/>
      </w:r>
      <w:r>
        <w:rPr>
          <w:rFonts w:ascii="Times New Roman" w:eastAsia="바탕" w:hAnsi="Times New Roman" w:cs="Times New Roman"/>
        </w:rPr>
        <w:tab/>
        <w:t xml:space="preserve">                 Laura </w:t>
      </w:r>
      <w:proofErr w:type="spellStart"/>
      <w:r>
        <w:rPr>
          <w:rFonts w:ascii="Times New Roman" w:eastAsia="바탕" w:hAnsi="Times New Roman" w:cs="Times New Roman"/>
        </w:rPr>
        <w:t>Colbran</w:t>
      </w:r>
      <w:proofErr w:type="spellEnd"/>
      <w:r>
        <w:rPr>
          <w:rFonts w:ascii="Times New Roman" w:eastAsia="바탕" w:hAnsi="Times New Roman" w:cs="Times New Roman"/>
        </w:rPr>
        <w:t xml:space="preserve">, </w:t>
      </w:r>
      <w:proofErr w:type="spellStart"/>
      <w:r>
        <w:rPr>
          <w:rFonts w:ascii="Times New Roman" w:eastAsia="바탕" w:hAnsi="Times New Roman" w:cs="Times New Roman"/>
        </w:rPr>
        <w:t>Jimin</w:t>
      </w:r>
      <w:proofErr w:type="spellEnd"/>
      <w:r>
        <w:rPr>
          <w:rFonts w:ascii="Times New Roman" w:eastAsia="바탕" w:hAnsi="Times New Roman" w:cs="Times New Roman"/>
        </w:rPr>
        <w:t xml:space="preserve"> </w:t>
      </w:r>
      <w:proofErr w:type="spellStart"/>
      <w:r>
        <w:rPr>
          <w:rFonts w:ascii="Times New Roman" w:eastAsia="바탕" w:hAnsi="Times New Roman" w:cs="Times New Roman"/>
        </w:rPr>
        <w:t>Yoo</w:t>
      </w:r>
      <w:proofErr w:type="spellEnd"/>
      <w:r w:rsidRPr="00AD08B2">
        <w:rPr>
          <w:rFonts w:ascii="Times New Roman" w:eastAsia="바탕" w:hAnsi="Times New Roman" w:cs="Times New Roman"/>
        </w:rPr>
        <w:tab/>
      </w:r>
    </w:p>
    <w:p w14:paraId="27316E50" w14:textId="77777777" w:rsidR="00A5034F" w:rsidRPr="00AD08B2" w:rsidRDefault="00A5034F" w:rsidP="00A5034F">
      <w:pPr>
        <w:spacing w:line="276" w:lineRule="auto"/>
        <w:jc w:val="right"/>
        <w:rPr>
          <w:rFonts w:ascii="Times New Roman" w:eastAsia="바탕" w:hAnsi="Times New Roman" w:cs="Times New Roman"/>
        </w:rPr>
      </w:pPr>
      <w:r w:rsidRPr="00AD08B2">
        <w:rPr>
          <w:rFonts w:ascii="Times New Roman" w:eastAsia="바탕" w:hAnsi="Times New Roman" w:cs="Times New Roman"/>
        </w:rPr>
        <w:t xml:space="preserve">Professor </w:t>
      </w:r>
      <w:r>
        <w:rPr>
          <w:rFonts w:ascii="Times New Roman" w:eastAsia="바탕" w:hAnsi="Times New Roman" w:cs="Times New Roman"/>
        </w:rPr>
        <w:t xml:space="preserve">Dave </w:t>
      </w:r>
      <w:proofErr w:type="spellStart"/>
      <w:r>
        <w:rPr>
          <w:rFonts w:ascii="Times New Roman" w:eastAsia="바탕" w:hAnsi="Times New Roman" w:cs="Times New Roman"/>
        </w:rPr>
        <w:t>Musicant</w:t>
      </w:r>
      <w:proofErr w:type="spellEnd"/>
      <w:r>
        <w:rPr>
          <w:rFonts w:ascii="Times New Roman" w:eastAsia="바탕" w:hAnsi="Times New Roman" w:cs="Times New Roman"/>
        </w:rPr>
        <w:t xml:space="preserve"> </w:t>
      </w:r>
    </w:p>
    <w:p w14:paraId="2E61A7E3" w14:textId="77777777" w:rsidR="00A5034F" w:rsidRPr="00AD08B2" w:rsidRDefault="00A5034F" w:rsidP="00A5034F">
      <w:pPr>
        <w:spacing w:line="276" w:lineRule="auto"/>
        <w:jc w:val="right"/>
        <w:rPr>
          <w:rFonts w:ascii="Times New Roman" w:eastAsia="바탕" w:hAnsi="Times New Roman" w:cs="Times New Roman"/>
        </w:rPr>
      </w:pPr>
      <w:r>
        <w:rPr>
          <w:rFonts w:ascii="Times New Roman" w:eastAsia="바탕" w:hAnsi="Times New Roman" w:cs="Times New Roman"/>
        </w:rPr>
        <w:t>COSC 324</w:t>
      </w:r>
    </w:p>
    <w:p w14:paraId="73728B79" w14:textId="77777777" w:rsidR="00A5034F" w:rsidRDefault="00A5034F" w:rsidP="00A5034F">
      <w:pPr>
        <w:spacing w:line="276" w:lineRule="auto"/>
        <w:jc w:val="right"/>
        <w:rPr>
          <w:rFonts w:ascii="Times New Roman" w:eastAsia="바탕" w:hAnsi="Times New Roman" w:cs="Times New Roman"/>
        </w:rPr>
      </w:pPr>
      <w:r>
        <w:rPr>
          <w:rFonts w:ascii="Times New Roman" w:eastAsia="바탕" w:hAnsi="Times New Roman" w:cs="Times New Roman"/>
        </w:rPr>
        <w:t>January 21, 2015</w:t>
      </w:r>
    </w:p>
    <w:p w14:paraId="0C5DA343" w14:textId="77777777" w:rsidR="00A5034F" w:rsidRDefault="00A5034F" w:rsidP="00A5034F">
      <w:pPr>
        <w:spacing w:line="276" w:lineRule="auto"/>
        <w:jc w:val="right"/>
        <w:rPr>
          <w:rFonts w:ascii="Times New Roman" w:eastAsia="바탕" w:hAnsi="Times New Roman" w:cs="Times New Roman"/>
        </w:rPr>
      </w:pPr>
    </w:p>
    <w:p w14:paraId="7F4CF004" w14:textId="77777777" w:rsidR="00A5034F" w:rsidRDefault="00A5034F" w:rsidP="00A5034F">
      <w:pPr>
        <w:spacing w:line="276" w:lineRule="auto"/>
        <w:jc w:val="center"/>
        <w:rPr>
          <w:rFonts w:ascii="Times New Roman" w:eastAsia="바탕" w:hAnsi="Times New Roman" w:cs="Times New Roman"/>
          <w:b/>
        </w:rPr>
      </w:pPr>
      <w:r w:rsidRPr="00A5034F">
        <w:rPr>
          <w:rFonts w:ascii="Times New Roman" w:eastAsia="바탕" w:hAnsi="Times New Roman" w:cs="Times New Roman"/>
          <w:b/>
        </w:rPr>
        <w:t>Locality Sensitive Hashing Report</w:t>
      </w:r>
    </w:p>
    <w:p w14:paraId="45A0CFE0" w14:textId="77777777" w:rsidR="00A5034F" w:rsidRDefault="00A5034F" w:rsidP="00A5034F">
      <w:pPr>
        <w:spacing w:line="276" w:lineRule="auto"/>
        <w:jc w:val="center"/>
        <w:rPr>
          <w:rFonts w:ascii="Times New Roman" w:eastAsia="바탕" w:hAnsi="Times New Roman" w:cs="Times New Roman"/>
          <w:b/>
        </w:rPr>
      </w:pPr>
    </w:p>
    <w:p w14:paraId="4553991E" w14:textId="77777777" w:rsidR="00A5034F" w:rsidRDefault="00A5034F" w:rsidP="00A5034F">
      <w:pPr>
        <w:spacing w:line="276" w:lineRule="auto"/>
        <w:rPr>
          <w:rFonts w:ascii="Times New Roman" w:eastAsia="바탕" w:hAnsi="Times New Roman" w:cs="Times New Roman"/>
        </w:rPr>
      </w:pPr>
      <w:r>
        <w:rPr>
          <w:rFonts w:ascii="Times New Roman" w:eastAsia="바탕" w:hAnsi="Times New Roman" w:cs="Times New Roman"/>
        </w:rPr>
        <w:t xml:space="preserve">In this assignment, we compared two approaches for obtaining the average </w:t>
      </w:r>
      <w:proofErr w:type="spellStart"/>
      <w:r>
        <w:rPr>
          <w:rFonts w:ascii="Times New Roman" w:eastAsia="바탕" w:hAnsi="Times New Roman" w:cs="Times New Roman"/>
        </w:rPr>
        <w:t>Jaccard</w:t>
      </w:r>
      <w:proofErr w:type="spellEnd"/>
      <w:r>
        <w:rPr>
          <w:rFonts w:ascii="Times New Roman" w:eastAsia="바탕" w:hAnsi="Times New Roman" w:cs="Times New Roman"/>
        </w:rPr>
        <w:t xml:space="preserve"> similarity among k number of nearest neighbors (or, in this case, k number of similar documents)—simple Brute Force (BF) and Locality Sensitive Hashing (LSH). We changed variables such as data size (number of documents), k (number of nearest neighbors), r (number of rows in a band), and number of permutations, and compared the </w:t>
      </w:r>
      <w:proofErr w:type="spellStart"/>
      <w:r>
        <w:rPr>
          <w:rFonts w:ascii="Times New Roman" w:eastAsia="바탕" w:hAnsi="Times New Roman" w:cs="Times New Roman"/>
        </w:rPr>
        <w:t>Jaccard</w:t>
      </w:r>
      <w:proofErr w:type="spellEnd"/>
      <w:r>
        <w:rPr>
          <w:rFonts w:ascii="Times New Roman" w:eastAsia="바탕" w:hAnsi="Times New Roman" w:cs="Times New Roman"/>
        </w:rPr>
        <w:t xml:space="preserve"> similarity obtained by the two approaches. </w:t>
      </w:r>
    </w:p>
    <w:p w14:paraId="3325FE73" w14:textId="77777777" w:rsidR="00A5034F" w:rsidRDefault="00A5034F" w:rsidP="00A5034F">
      <w:pPr>
        <w:spacing w:line="276" w:lineRule="auto"/>
        <w:rPr>
          <w:rFonts w:ascii="Times New Roman" w:eastAsia="바탕" w:hAnsi="Times New Roman" w:cs="Times New Roman"/>
        </w:rPr>
      </w:pPr>
    </w:p>
    <w:p w14:paraId="539F407E" w14:textId="77777777" w:rsidR="002270BF" w:rsidRDefault="00A5034F" w:rsidP="00A5034F">
      <w:pPr>
        <w:spacing w:line="276" w:lineRule="auto"/>
        <w:rPr>
          <w:rFonts w:ascii="Times New Roman" w:eastAsia="바탕" w:hAnsi="Times New Roman" w:cs="Times New Roman"/>
        </w:rPr>
      </w:pPr>
      <w:r>
        <w:rPr>
          <w:rFonts w:ascii="Times New Roman" w:eastAsia="바탕" w:hAnsi="Times New Roman" w:cs="Times New Roman"/>
        </w:rPr>
        <w:t xml:space="preserve">Overall, we found that the gap between the </w:t>
      </w:r>
      <w:proofErr w:type="spellStart"/>
      <w:r>
        <w:rPr>
          <w:rFonts w:ascii="Times New Roman" w:eastAsia="바탕" w:hAnsi="Times New Roman" w:cs="Times New Roman"/>
        </w:rPr>
        <w:t>Jaccard</w:t>
      </w:r>
      <w:proofErr w:type="spellEnd"/>
      <w:r>
        <w:rPr>
          <w:rFonts w:ascii="Times New Roman" w:eastAsia="바탕" w:hAnsi="Times New Roman" w:cs="Times New Roman"/>
        </w:rPr>
        <w:t xml:space="preserve"> </w:t>
      </w:r>
      <w:proofErr w:type="spellStart"/>
      <w:r>
        <w:rPr>
          <w:rFonts w:ascii="Times New Roman" w:eastAsia="바탕" w:hAnsi="Times New Roman" w:cs="Times New Roman"/>
        </w:rPr>
        <w:t>similarties</w:t>
      </w:r>
      <w:proofErr w:type="spellEnd"/>
      <w:r>
        <w:rPr>
          <w:rFonts w:ascii="Times New Roman" w:eastAsia="바탕" w:hAnsi="Times New Roman" w:cs="Times New Roman"/>
        </w:rPr>
        <w:t xml:space="preserve"> of the two approaches was small, keeping the data size and k constant. However, the gap between the two approaches’ </w:t>
      </w:r>
      <w:proofErr w:type="spellStart"/>
      <w:r>
        <w:rPr>
          <w:rFonts w:ascii="Times New Roman" w:eastAsia="바탕" w:hAnsi="Times New Roman" w:cs="Times New Roman"/>
        </w:rPr>
        <w:t>Jaccard</w:t>
      </w:r>
      <w:proofErr w:type="spellEnd"/>
      <w:r>
        <w:rPr>
          <w:rFonts w:ascii="Times New Roman" w:eastAsia="바탕" w:hAnsi="Times New Roman" w:cs="Times New Roman"/>
        </w:rPr>
        <w:t xml:space="preserve"> similarities got bigger when r, the number of rows in a band, is large or when the number of permutations was small. </w:t>
      </w:r>
    </w:p>
    <w:p w14:paraId="1F79FCE3" w14:textId="77777777" w:rsidR="002270BF" w:rsidRDefault="002270BF" w:rsidP="00A5034F">
      <w:pPr>
        <w:spacing w:line="276" w:lineRule="auto"/>
        <w:rPr>
          <w:rFonts w:ascii="Times New Roman" w:eastAsia="바탕" w:hAnsi="Times New Roman" w:cs="Times New Roman"/>
        </w:rPr>
      </w:pPr>
    </w:p>
    <w:p w14:paraId="25E76583" w14:textId="77777777" w:rsidR="002270BF" w:rsidRPr="003E6F94" w:rsidRDefault="002270BF" w:rsidP="00A5034F">
      <w:pPr>
        <w:spacing w:line="276" w:lineRule="auto"/>
        <w:rPr>
          <w:rFonts w:ascii="Times New Roman" w:eastAsia="바탕" w:hAnsi="Times New Roman" w:cs="Times New Roman"/>
          <w:b/>
        </w:rPr>
      </w:pPr>
      <w:r w:rsidRPr="003E6F94">
        <w:rPr>
          <w:rFonts w:ascii="Times New Roman" w:eastAsia="바탕" w:hAnsi="Times New Roman" w:cs="Times New Roman"/>
          <w:b/>
        </w:rPr>
        <w:t xml:space="preserve">Figure 1. Data size (number of documents to read) and averaged </w:t>
      </w:r>
      <w:proofErr w:type="spellStart"/>
      <w:r w:rsidRPr="003E6F94">
        <w:rPr>
          <w:rFonts w:ascii="Times New Roman" w:eastAsia="바탕" w:hAnsi="Times New Roman" w:cs="Times New Roman"/>
          <w:b/>
        </w:rPr>
        <w:t>Jaccard</w:t>
      </w:r>
      <w:proofErr w:type="spellEnd"/>
      <w:r w:rsidRPr="003E6F94">
        <w:rPr>
          <w:rFonts w:ascii="Times New Roman" w:eastAsia="바탕" w:hAnsi="Times New Roman" w:cs="Times New Roman"/>
          <w:b/>
        </w:rPr>
        <w:t xml:space="preserve"> similarity</w:t>
      </w:r>
    </w:p>
    <w:p w14:paraId="392E0C49" w14:textId="77777777" w:rsidR="00A5034F" w:rsidRPr="00AD08B2" w:rsidRDefault="002270BF" w:rsidP="002270BF">
      <w:pPr>
        <w:spacing w:line="276" w:lineRule="auto"/>
        <w:rPr>
          <w:rFonts w:ascii="Times New Roman" w:eastAsia="바탕" w:hAnsi="Times New Roman" w:cs="Times New Roman"/>
        </w:rPr>
      </w:pPr>
      <w:r>
        <w:rPr>
          <w:noProof/>
        </w:rPr>
        <w:drawing>
          <wp:inline distT="0" distB="0" distL="0" distR="0" wp14:anchorId="2D591548" wp14:editId="4D923E2D">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9A211D" w14:textId="77777777" w:rsidR="002270BF" w:rsidRDefault="002270BF" w:rsidP="002270BF">
      <w:pPr>
        <w:tabs>
          <w:tab w:val="right" w:pos="8640"/>
        </w:tabs>
        <w:rPr>
          <w:noProof/>
        </w:rPr>
      </w:pPr>
      <w:r>
        <w:rPr>
          <w:noProof/>
        </w:rPr>
        <w:t xml:space="preserve"> Both brute force approach and LSH approach’s Jaccard similarities remain similar throughout the changning data size. The average Jaccard similarity gets bigger as the data size increases, which makes sense, since the larger the number documents we read, the larger the probability that we can find documents that are more similar to our target document. </w:t>
      </w:r>
    </w:p>
    <w:p w14:paraId="51F53225" w14:textId="77777777" w:rsidR="002270BF" w:rsidRDefault="002270BF" w:rsidP="002270BF">
      <w:pPr>
        <w:tabs>
          <w:tab w:val="right" w:pos="8640"/>
        </w:tabs>
        <w:rPr>
          <w:noProof/>
        </w:rPr>
      </w:pPr>
    </w:p>
    <w:p w14:paraId="4691A2C3" w14:textId="77777777" w:rsidR="002270BF" w:rsidRDefault="002270BF" w:rsidP="002270BF">
      <w:pPr>
        <w:tabs>
          <w:tab w:val="right" w:pos="8640"/>
        </w:tabs>
        <w:rPr>
          <w:noProof/>
        </w:rPr>
      </w:pPr>
    </w:p>
    <w:p w14:paraId="5C1DED34" w14:textId="77777777" w:rsidR="002270BF" w:rsidRDefault="002270BF" w:rsidP="002270BF">
      <w:pPr>
        <w:tabs>
          <w:tab w:val="right" w:pos="8640"/>
        </w:tabs>
        <w:rPr>
          <w:noProof/>
        </w:rPr>
      </w:pPr>
    </w:p>
    <w:p w14:paraId="0321BFFB" w14:textId="77777777" w:rsidR="002270BF" w:rsidRPr="003E6F94" w:rsidRDefault="002270BF" w:rsidP="002270BF">
      <w:pPr>
        <w:tabs>
          <w:tab w:val="right" w:pos="8640"/>
        </w:tabs>
        <w:rPr>
          <w:b/>
          <w:noProof/>
        </w:rPr>
      </w:pPr>
      <w:r w:rsidRPr="003E6F94">
        <w:rPr>
          <w:b/>
          <w:noProof/>
        </w:rPr>
        <w:t>Figure 2. K (number of nearest neighbors and average Jaccard similarity)</w:t>
      </w:r>
    </w:p>
    <w:p w14:paraId="40CEBCBA" w14:textId="77777777" w:rsidR="002270BF" w:rsidRDefault="002270BF" w:rsidP="002270BF">
      <w:pPr>
        <w:tabs>
          <w:tab w:val="right" w:pos="8640"/>
        </w:tabs>
        <w:rPr>
          <w:noProof/>
        </w:rPr>
      </w:pPr>
      <w:r>
        <w:rPr>
          <w:noProof/>
        </w:rPr>
        <w:drawing>
          <wp:inline distT="0" distB="0" distL="0" distR="0" wp14:anchorId="7E682813" wp14:editId="7CD65809">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2AFC6B" w14:textId="77777777" w:rsidR="002270BF" w:rsidRDefault="002270BF" w:rsidP="002270BF">
      <w:pPr>
        <w:tabs>
          <w:tab w:val="right" w:pos="8640"/>
        </w:tabs>
        <w:rPr>
          <w:noProof/>
        </w:rPr>
      </w:pPr>
      <w:r>
        <w:rPr>
          <w:noProof/>
        </w:rPr>
        <w:t>Both approaches’</w:t>
      </w:r>
      <w:r w:rsidR="00BF193A">
        <w:rPr>
          <w:noProof/>
        </w:rPr>
        <w:t xml:space="preserve"> Jaccard similarities remain</w:t>
      </w:r>
      <w:r>
        <w:rPr>
          <w:noProof/>
        </w:rPr>
        <w:t xml:space="preserve"> similar. </w:t>
      </w:r>
      <w:r w:rsidR="00BF193A">
        <w:rPr>
          <w:noProof/>
        </w:rPr>
        <w:t xml:space="preserve">The avearge similarity gets smaller as k gets larger. This is probably because we have to start including not-so-similar documents </w:t>
      </w:r>
      <w:r w:rsidR="00AB4C0D">
        <w:rPr>
          <w:noProof/>
        </w:rPr>
        <w:t xml:space="preserve">(or at least, less similar than the ones closest to the target document) </w:t>
      </w:r>
      <w:r w:rsidR="00AB4C0D">
        <w:rPr>
          <w:noProof/>
        </w:rPr>
        <w:t xml:space="preserve">as we try to find larger number of neighbors. </w:t>
      </w:r>
    </w:p>
    <w:p w14:paraId="4A228557" w14:textId="77777777" w:rsidR="002270BF" w:rsidRDefault="002270BF" w:rsidP="002270BF">
      <w:pPr>
        <w:tabs>
          <w:tab w:val="right" w:pos="8640"/>
        </w:tabs>
        <w:rPr>
          <w:noProof/>
        </w:rPr>
      </w:pPr>
    </w:p>
    <w:p w14:paraId="296226BC" w14:textId="77777777" w:rsidR="002270BF" w:rsidRPr="003E6F94" w:rsidRDefault="002270BF" w:rsidP="002270BF">
      <w:pPr>
        <w:tabs>
          <w:tab w:val="right" w:pos="8640"/>
        </w:tabs>
        <w:rPr>
          <w:b/>
          <w:noProof/>
        </w:rPr>
      </w:pPr>
      <w:r w:rsidRPr="003E6F94">
        <w:rPr>
          <w:b/>
          <w:noProof/>
        </w:rPr>
        <w:t xml:space="preserve">Figure 3. Average jaccard similarity and number of permutations </w:t>
      </w:r>
    </w:p>
    <w:p w14:paraId="3574C2C1" w14:textId="77777777" w:rsidR="002270BF" w:rsidRDefault="002270BF" w:rsidP="002270BF">
      <w:pPr>
        <w:rPr>
          <w:noProof/>
        </w:rPr>
      </w:pPr>
    </w:p>
    <w:p w14:paraId="5B603264" w14:textId="77777777" w:rsidR="002270BF" w:rsidRDefault="002270BF" w:rsidP="002270BF">
      <w:r>
        <w:rPr>
          <w:noProof/>
        </w:rPr>
        <w:drawing>
          <wp:inline distT="0" distB="0" distL="0" distR="0" wp14:anchorId="45FC4A47" wp14:editId="7ABA6D1E">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8E2E1B" w14:textId="77777777" w:rsidR="003E6F94" w:rsidRDefault="002270BF" w:rsidP="002270BF">
      <w:r>
        <w:t xml:space="preserve">Since all that was being altered here was the number of permutations put in the signature matrix, the brute force method was unchanged. LSH got closer to the brute force method as there were more permutations. This makes sense, given the theory that if one used every possible permutation, it would equal the </w:t>
      </w:r>
      <w:proofErr w:type="spellStart"/>
      <w:r>
        <w:t>Jaccard</w:t>
      </w:r>
      <w:proofErr w:type="spellEnd"/>
      <w:r>
        <w:t xml:space="preserve"> similarity exactly.</w:t>
      </w:r>
    </w:p>
    <w:p w14:paraId="358E0212" w14:textId="77777777" w:rsidR="003E6F94" w:rsidRDefault="003E6F94" w:rsidP="002270BF"/>
    <w:p w14:paraId="222DBCA4" w14:textId="1C8BAD8F" w:rsidR="002270BF" w:rsidRPr="003E6F94" w:rsidRDefault="002270BF" w:rsidP="002270BF">
      <w:pPr>
        <w:rPr>
          <w:b/>
        </w:rPr>
      </w:pPr>
      <w:r w:rsidRPr="003E6F94">
        <w:rPr>
          <w:b/>
        </w:rPr>
        <w:t xml:space="preserve">Figure 4. Average </w:t>
      </w:r>
      <w:proofErr w:type="spellStart"/>
      <w:r w:rsidRPr="003E6F94">
        <w:rPr>
          <w:b/>
        </w:rPr>
        <w:t>Jaccard</w:t>
      </w:r>
      <w:proofErr w:type="spellEnd"/>
      <w:r w:rsidRPr="003E6F94">
        <w:rPr>
          <w:b/>
        </w:rPr>
        <w:t xml:space="preserve"> similarity and number of rows in a band </w:t>
      </w:r>
    </w:p>
    <w:p w14:paraId="4FAA9DB1" w14:textId="77777777" w:rsidR="002270BF" w:rsidRDefault="002270BF" w:rsidP="002270BF"/>
    <w:p w14:paraId="5F707F64" w14:textId="77777777" w:rsidR="002270BF" w:rsidRDefault="002270BF" w:rsidP="002270BF">
      <w:r>
        <w:rPr>
          <w:noProof/>
        </w:rPr>
        <w:drawing>
          <wp:inline distT="0" distB="0" distL="0" distR="0" wp14:anchorId="5CF9043E" wp14:editId="5824B18A">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79D41556" w14:textId="77777777" w:rsidR="002270BF" w:rsidRDefault="002270BF" w:rsidP="002270BF">
      <w:r>
        <w:t xml:space="preserve">Again, the LSH method was what was being altered, so the brute force was unchanged. As you increase the number of rows per band, LSH gets worse at estimating the overall similarity. Again, this makes sense. Larger bands means it’s less likely that a document would qualify as a candidate pair, which means the </w:t>
      </w:r>
      <w:proofErr w:type="spellStart"/>
      <w:r>
        <w:t>knn</w:t>
      </w:r>
      <w:proofErr w:type="spellEnd"/>
      <w:r>
        <w:t xml:space="preserve"> has fewer options to choose from.</w:t>
      </w:r>
    </w:p>
    <w:p w14:paraId="584387AA" w14:textId="77777777" w:rsidR="002270BF" w:rsidRDefault="002270BF" w:rsidP="002270BF">
      <w:pPr>
        <w:tabs>
          <w:tab w:val="right" w:pos="8640"/>
        </w:tabs>
        <w:rPr>
          <w:noProof/>
        </w:rPr>
      </w:pPr>
    </w:p>
    <w:p w14:paraId="31B875AD" w14:textId="77777777" w:rsidR="002270BF" w:rsidRDefault="002270BF" w:rsidP="002270BF">
      <w:pPr>
        <w:tabs>
          <w:tab w:val="right" w:pos="8640"/>
        </w:tabs>
        <w:rPr>
          <w:noProof/>
        </w:rPr>
      </w:pPr>
    </w:p>
    <w:p w14:paraId="0C873D6D" w14:textId="77777777" w:rsidR="002270BF" w:rsidRDefault="002270BF" w:rsidP="002270BF">
      <w:pPr>
        <w:tabs>
          <w:tab w:val="right" w:pos="8640"/>
        </w:tabs>
        <w:rPr>
          <w:noProof/>
        </w:rPr>
      </w:pPr>
    </w:p>
    <w:p w14:paraId="3B4C2E54" w14:textId="77777777" w:rsidR="002270BF" w:rsidRPr="002270BF" w:rsidRDefault="002270BF" w:rsidP="002270BF">
      <w:pPr>
        <w:tabs>
          <w:tab w:val="right" w:pos="8640"/>
        </w:tabs>
        <w:spacing w:line="360" w:lineRule="auto"/>
        <w:rPr>
          <w:noProof/>
          <w:u w:val="single"/>
        </w:rPr>
      </w:pPr>
      <w:r w:rsidRPr="002270BF">
        <w:rPr>
          <w:noProof/>
          <w:u w:val="single"/>
        </w:rPr>
        <w:t xml:space="preserve">Appendix </w:t>
      </w:r>
    </w:p>
    <w:p w14:paraId="749A1B0A" w14:textId="77777777" w:rsidR="002270BF" w:rsidRDefault="002270BF" w:rsidP="002270BF">
      <w:pPr>
        <w:tabs>
          <w:tab w:val="right" w:pos="8640"/>
        </w:tabs>
      </w:pPr>
      <w:r>
        <w:rPr>
          <w:noProof/>
        </w:rPr>
        <w:t xml:space="preserve">Figure 1. Data size (number of documents to read in) and running time </w:t>
      </w:r>
      <w:r>
        <w:rPr>
          <w:noProof/>
        </w:rPr>
        <w:tab/>
      </w:r>
    </w:p>
    <w:p w14:paraId="570C3642" w14:textId="77777777" w:rsidR="002270BF" w:rsidRDefault="002270BF" w:rsidP="002270BF"/>
    <w:p w14:paraId="0A8A63E9" w14:textId="77777777" w:rsidR="002270BF" w:rsidRDefault="002270BF" w:rsidP="002270BF">
      <w:r>
        <w:rPr>
          <w:noProof/>
        </w:rPr>
        <w:drawing>
          <wp:inline distT="0" distB="0" distL="0" distR="0" wp14:anchorId="12BBCE02" wp14:editId="49DAD228">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27A4A1" w14:textId="77777777" w:rsidR="002270BF" w:rsidRDefault="002270BF" w:rsidP="002270BF"/>
    <w:p w14:paraId="5DE39D29" w14:textId="77777777" w:rsidR="002270BF" w:rsidRDefault="002270BF" w:rsidP="002270BF">
      <w:r>
        <w:t xml:space="preserve">Figure 2. K (number of nearest neighbors) and running time </w:t>
      </w:r>
    </w:p>
    <w:p w14:paraId="001124A9" w14:textId="77777777" w:rsidR="002270BF" w:rsidRDefault="002270BF" w:rsidP="002270BF">
      <w:r>
        <w:rPr>
          <w:noProof/>
        </w:rPr>
        <w:drawing>
          <wp:inline distT="0" distB="0" distL="0" distR="0" wp14:anchorId="6ABD218B" wp14:editId="74BCC99A">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B8170D" w14:textId="77777777" w:rsidR="00A5034F" w:rsidRDefault="00A5034F"/>
    <w:sectPr w:rsidR="00A5034F" w:rsidSect="000171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4F"/>
    <w:rsid w:val="000171B2"/>
    <w:rsid w:val="002176F0"/>
    <w:rsid w:val="002270BF"/>
    <w:rsid w:val="003E6F94"/>
    <w:rsid w:val="00A5034F"/>
    <w:rsid w:val="00AB4C0D"/>
    <w:rsid w:val="00BF1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B5F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34F"/>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0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0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34F"/>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0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0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lcolbran:Documents:Carleton:DataMining:lsh_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lcolbran:Documents:Carleton:DataMining:lsh_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Data Size and Average</a:t>
            </a:r>
            <a:r>
              <a:rPr lang="en-US" sz="1400" baseline="0"/>
              <a:t> Jaccard Similarity</a:t>
            </a:r>
            <a:endParaRPr lang="en-US" sz="1400"/>
          </a:p>
        </c:rich>
      </c:tx>
      <c:layout>
        <c:manualLayout>
          <c:xMode val="edge"/>
          <c:yMode val="edge"/>
          <c:x val="0.200726159230096"/>
          <c:y val="0.0509259259259259"/>
        </c:manualLayout>
      </c:layout>
      <c:overlay val="0"/>
    </c:title>
    <c:autoTitleDeleted val="0"/>
    <c:plotArea>
      <c:layout/>
      <c:lineChart>
        <c:grouping val="standard"/>
        <c:varyColors val="0"/>
        <c:ser>
          <c:idx val="1"/>
          <c:order val="0"/>
          <c:tx>
            <c:strRef>
              <c:f>'[LSH2 Charts.xlsx]Sheet1'!$A$10</c:f>
              <c:strCache>
                <c:ptCount val="1"/>
                <c:pt idx="0">
                  <c:v>BF Sim</c:v>
                </c:pt>
              </c:strCache>
            </c:strRef>
          </c:tx>
          <c:spPr>
            <a:ln w="28575" cmpd="sng">
              <a:solidFill>
                <a:schemeClr val="tx2"/>
              </a:solidFill>
            </a:ln>
          </c:spPr>
          <c:marker>
            <c:symbol val="none"/>
          </c:marker>
          <c:dPt>
            <c:idx val="0"/>
            <c:bubble3D val="0"/>
            <c:spPr>
              <a:ln w="28575" cmpd="sng">
                <a:solidFill>
                  <a:schemeClr val="accent2"/>
                </a:solidFill>
              </a:ln>
            </c:spPr>
          </c:dPt>
          <c:cat>
            <c:numRef>
              <c:f>'[LSH2 Charts.xlsx]Sheet1'!$B$9:$F$9</c:f>
              <c:numCache>
                <c:formatCode>General</c:formatCode>
                <c:ptCount val="5"/>
                <c:pt idx="0">
                  <c:v>100.0</c:v>
                </c:pt>
                <c:pt idx="1">
                  <c:v>500.0</c:v>
                </c:pt>
                <c:pt idx="2">
                  <c:v>1000.0</c:v>
                </c:pt>
                <c:pt idx="3">
                  <c:v>2000.0</c:v>
                </c:pt>
                <c:pt idx="4">
                  <c:v>5000.0</c:v>
                </c:pt>
              </c:numCache>
            </c:numRef>
          </c:cat>
          <c:val>
            <c:numRef>
              <c:f>'[LSH2 Charts.xlsx]Sheet1'!$B$10:$F$10</c:f>
              <c:numCache>
                <c:formatCode>General</c:formatCode>
                <c:ptCount val="5"/>
                <c:pt idx="0">
                  <c:v>0.0812</c:v>
                </c:pt>
                <c:pt idx="1">
                  <c:v>0.1895</c:v>
                </c:pt>
                <c:pt idx="2">
                  <c:v>0.2445</c:v>
                </c:pt>
                <c:pt idx="3">
                  <c:v>0.2511</c:v>
                </c:pt>
                <c:pt idx="4">
                  <c:v>0.2931</c:v>
                </c:pt>
              </c:numCache>
            </c:numRef>
          </c:val>
          <c:smooth val="0"/>
        </c:ser>
        <c:ser>
          <c:idx val="2"/>
          <c:order val="1"/>
          <c:tx>
            <c:strRef>
              <c:f>'[LSH2 Charts.xlsx]Sheet1'!$A$11</c:f>
              <c:strCache>
                <c:ptCount val="1"/>
                <c:pt idx="0">
                  <c:v>LSH Sim</c:v>
                </c:pt>
              </c:strCache>
            </c:strRef>
          </c:tx>
          <c:spPr>
            <a:ln w="28575" cmpd="sng">
              <a:solidFill>
                <a:schemeClr val="accent2"/>
              </a:solidFill>
            </a:ln>
          </c:spPr>
          <c:marker>
            <c:symbol val="none"/>
          </c:marker>
          <c:cat>
            <c:numRef>
              <c:f>'[LSH2 Charts.xlsx]Sheet1'!$B$9:$F$9</c:f>
              <c:numCache>
                <c:formatCode>General</c:formatCode>
                <c:ptCount val="5"/>
                <c:pt idx="0">
                  <c:v>100.0</c:v>
                </c:pt>
                <c:pt idx="1">
                  <c:v>500.0</c:v>
                </c:pt>
                <c:pt idx="2">
                  <c:v>1000.0</c:v>
                </c:pt>
                <c:pt idx="3">
                  <c:v>2000.0</c:v>
                </c:pt>
                <c:pt idx="4">
                  <c:v>5000.0</c:v>
                </c:pt>
              </c:numCache>
            </c:numRef>
          </c:cat>
          <c:val>
            <c:numRef>
              <c:f>'[LSH2 Charts.xlsx]Sheet1'!$B$11:$F$11</c:f>
              <c:numCache>
                <c:formatCode>General</c:formatCode>
                <c:ptCount val="5"/>
                <c:pt idx="0">
                  <c:v>0.0767</c:v>
                </c:pt>
                <c:pt idx="1">
                  <c:v>0.1781</c:v>
                </c:pt>
                <c:pt idx="2">
                  <c:v>0.229</c:v>
                </c:pt>
                <c:pt idx="3">
                  <c:v>0.2442</c:v>
                </c:pt>
                <c:pt idx="4">
                  <c:v>0.2882</c:v>
                </c:pt>
              </c:numCache>
            </c:numRef>
          </c:val>
          <c:smooth val="0"/>
        </c:ser>
        <c:dLbls>
          <c:showLegendKey val="0"/>
          <c:showVal val="0"/>
          <c:showCatName val="0"/>
          <c:showSerName val="0"/>
          <c:showPercent val="0"/>
          <c:showBubbleSize val="0"/>
        </c:dLbls>
        <c:marker val="1"/>
        <c:smooth val="0"/>
        <c:axId val="2086384120"/>
        <c:axId val="2089521656"/>
      </c:lineChart>
      <c:catAx>
        <c:axId val="2086384120"/>
        <c:scaling>
          <c:orientation val="minMax"/>
        </c:scaling>
        <c:delete val="0"/>
        <c:axPos val="b"/>
        <c:title>
          <c:tx>
            <c:rich>
              <a:bodyPr/>
              <a:lstStyle/>
              <a:p>
                <a:pPr>
                  <a:defRPr/>
                </a:pPr>
                <a:r>
                  <a:rPr lang="en-US"/>
                  <a:t>Data</a:t>
                </a:r>
                <a:r>
                  <a:rPr lang="en-US" baseline="0"/>
                  <a:t> Size</a:t>
                </a:r>
                <a:endParaRPr lang="en-US"/>
              </a:p>
            </c:rich>
          </c:tx>
          <c:layout/>
          <c:overlay val="0"/>
        </c:title>
        <c:numFmt formatCode="General" sourceLinked="1"/>
        <c:majorTickMark val="out"/>
        <c:minorTickMark val="none"/>
        <c:tickLblPos val="nextTo"/>
        <c:crossAx val="2089521656"/>
        <c:crosses val="autoZero"/>
        <c:auto val="1"/>
        <c:lblAlgn val="ctr"/>
        <c:lblOffset val="100"/>
        <c:noMultiLvlLbl val="0"/>
      </c:catAx>
      <c:valAx>
        <c:axId val="2089521656"/>
        <c:scaling>
          <c:orientation val="minMax"/>
        </c:scaling>
        <c:delete val="0"/>
        <c:axPos val="l"/>
        <c:majorGridlines/>
        <c:title>
          <c:tx>
            <c:rich>
              <a:bodyPr rot="0" vert="horz"/>
              <a:lstStyle/>
              <a:p>
                <a:pPr>
                  <a:defRPr/>
                </a:pPr>
                <a:r>
                  <a:rPr lang="en-US"/>
                  <a:t>Similarity</a:t>
                </a:r>
                <a:r>
                  <a:rPr lang="en-US" baseline="0"/>
                  <a:t> </a:t>
                </a:r>
                <a:endParaRPr lang="en-US"/>
              </a:p>
            </c:rich>
          </c:tx>
          <c:layout/>
          <c:overlay val="0"/>
          <c:spPr>
            <a:ln w="12700" cmpd="sng"/>
          </c:spPr>
        </c:title>
        <c:numFmt formatCode="General" sourceLinked="1"/>
        <c:majorTickMark val="out"/>
        <c:minorTickMark val="none"/>
        <c:tickLblPos val="nextTo"/>
        <c:crossAx val="2086384120"/>
        <c:crosses val="autoZero"/>
        <c:crossBetween val="between"/>
      </c:valAx>
    </c:plotArea>
    <c:legend>
      <c:legendPos val="r"/>
      <c:layout/>
      <c:overlay val="0"/>
    </c:legend>
    <c:plotVisOnly val="1"/>
    <c:dispBlanksAs val="gap"/>
    <c:showDLblsOverMax val="0"/>
  </c:chart>
  <c:spPr>
    <a:ln w="635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K</a:t>
            </a:r>
            <a:r>
              <a:rPr lang="en-US" sz="1400" baseline="0"/>
              <a:t> and Average Jaccard Similarity</a:t>
            </a:r>
            <a:endParaRPr lang="en-US" sz="1400"/>
          </a:p>
        </c:rich>
      </c:tx>
      <c:layout/>
      <c:overlay val="0"/>
    </c:title>
    <c:autoTitleDeleted val="0"/>
    <c:plotArea>
      <c:layout/>
      <c:lineChart>
        <c:grouping val="standard"/>
        <c:varyColors val="0"/>
        <c:ser>
          <c:idx val="0"/>
          <c:order val="0"/>
          <c:tx>
            <c:strRef>
              <c:f>'[LSH2 Charts.xlsx]Sheet1'!$A$3</c:f>
              <c:strCache>
                <c:ptCount val="1"/>
                <c:pt idx="0">
                  <c:v>BF Avr.Sim.</c:v>
                </c:pt>
              </c:strCache>
            </c:strRef>
          </c:tx>
          <c:spPr>
            <a:ln w="28575" cmpd="sng"/>
          </c:spPr>
          <c:marker>
            <c:symbol val="none"/>
          </c:marker>
          <c:cat>
            <c:numRef>
              <c:f>'[LSH2 Charts.xlsx]Sheet1'!$B$2:$F$2</c:f>
              <c:numCache>
                <c:formatCode>General</c:formatCode>
                <c:ptCount val="5"/>
                <c:pt idx="0">
                  <c:v>3.0</c:v>
                </c:pt>
                <c:pt idx="1">
                  <c:v>5.0</c:v>
                </c:pt>
                <c:pt idx="2">
                  <c:v>10.0</c:v>
                </c:pt>
                <c:pt idx="3">
                  <c:v>50.0</c:v>
                </c:pt>
                <c:pt idx="4">
                  <c:v>100.0</c:v>
                </c:pt>
              </c:numCache>
            </c:numRef>
          </c:cat>
          <c:val>
            <c:numRef>
              <c:f>'[LSH2 Charts.xlsx]Sheet1'!$B$3:$F$3</c:f>
              <c:numCache>
                <c:formatCode>General</c:formatCode>
                <c:ptCount val="5"/>
                <c:pt idx="0">
                  <c:v>0.2941</c:v>
                </c:pt>
                <c:pt idx="1">
                  <c:v>0.2445</c:v>
                </c:pt>
                <c:pt idx="2">
                  <c:v>0.1856</c:v>
                </c:pt>
                <c:pt idx="3">
                  <c:v>0.0917</c:v>
                </c:pt>
                <c:pt idx="4">
                  <c:v>0.0641</c:v>
                </c:pt>
              </c:numCache>
            </c:numRef>
          </c:val>
          <c:smooth val="0"/>
        </c:ser>
        <c:ser>
          <c:idx val="1"/>
          <c:order val="1"/>
          <c:tx>
            <c:strRef>
              <c:f>'[LSH2 Charts.xlsx]Sheet1'!$A$4</c:f>
              <c:strCache>
                <c:ptCount val="1"/>
                <c:pt idx="0">
                  <c:v>LSH Avr.Sim</c:v>
                </c:pt>
              </c:strCache>
            </c:strRef>
          </c:tx>
          <c:spPr>
            <a:ln w="28575" cmpd="sng"/>
          </c:spPr>
          <c:marker>
            <c:symbol val="none"/>
          </c:marker>
          <c:cat>
            <c:numRef>
              <c:f>'[LSH2 Charts.xlsx]Sheet1'!$B$2:$F$2</c:f>
              <c:numCache>
                <c:formatCode>General</c:formatCode>
                <c:ptCount val="5"/>
                <c:pt idx="0">
                  <c:v>3.0</c:v>
                </c:pt>
                <c:pt idx="1">
                  <c:v>5.0</c:v>
                </c:pt>
                <c:pt idx="2">
                  <c:v>10.0</c:v>
                </c:pt>
                <c:pt idx="3">
                  <c:v>50.0</c:v>
                </c:pt>
                <c:pt idx="4">
                  <c:v>100.0</c:v>
                </c:pt>
              </c:numCache>
            </c:numRef>
          </c:cat>
          <c:val>
            <c:numRef>
              <c:f>'[LSH2 Charts.xlsx]Sheet1'!$B$4:$F$4</c:f>
              <c:numCache>
                <c:formatCode>General</c:formatCode>
                <c:ptCount val="5"/>
                <c:pt idx="0">
                  <c:v>0.2727</c:v>
                </c:pt>
                <c:pt idx="1">
                  <c:v>0.2291</c:v>
                </c:pt>
                <c:pt idx="2">
                  <c:v>0.1753</c:v>
                </c:pt>
                <c:pt idx="3">
                  <c:v>0.086</c:v>
                </c:pt>
                <c:pt idx="4">
                  <c:v>0.0595</c:v>
                </c:pt>
              </c:numCache>
            </c:numRef>
          </c:val>
          <c:smooth val="0"/>
        </c:ser>
        <c:dLbls>
          <c:showLegendKey val="0"/>
          <c:showVal val="0"/>
          <c:showCatName val="0"/>
          <c:showSerName val="0"/>
          <c:showPercent val="0"/>
          <c:showBubbleSize val="0"/>
        </c:dLbls>
        <c:marker val="1"/>
        <c:smooth val="0"/>
        <c:axId val="2094110984"/>
        <c:axId val="2093033784"/>
      </c:lineChart>
      <c:catAx>
        <c:axId val="2094110984"/>
        <c:scaling>
          <c:orientation val="minMax"/>
        </c:scaling>
        <c:delete val="0"/>
        <c:axPos val="b"/>
        <c:title>
          <c:tx>
            <c:rich>
              <a:bodyPr/>
              <a:lstStyle/>
              <a:p>
                <a:pPr>
                  <a:defRPr/>
                </a:pPr>
                <a:r>
                  <a:rPr lang="en-US"/>
                  <a:t>K (Number of Neighbors)</a:t>
                </a:r>
              </a:p>
            </c:rich>
          </c:tx>
          <c:layout/>
          <c:overlay val="0"/>
        </c:title>
        <c:numFmt formatCode="General" sourceLinked="1"/>
        <c:majorTickMark val="out"/>
        <c:minorTickMark val="none"/>
        <c:tickLblPos val="nextTo"/>
        <c:crossAx val="2093033784"/>
        <c:crosses val="autoZero"/>
        <c:auto val="1"/>
        <c:lblAlgn val="ctr"/>
        <c:lblOffset val="100"/>
        <c:noMultiLvlLbl val="0"/>
      </c:catAx>
      <c:valAx>
        <c:axId val="2093033784"/>
        <c:scaling>
          <c:orientation val="minMax"/>
        </c:scaling>
        <c:delete val="0"/>
        <c:axPos val="l"/>
        <c:majorGridlines/>
        <c:title>
          <c:tx>
            <c:rich>
              <a:bodyPr rot="0" vert="horz"/>
              <a:lstStyle/>
              <a:p>
                <a:pPr>
                  <a:defRPr/>
                </a:pPr>
                <a:r>
                  <a:rPr lang="en-US"/>
                  <a:t>Similiarty</a:t>
                </a:r>
              </a:p>
            </c:rich>
          </c:tx>
          <c:layout/>
          <c:overlay val="0"/>
        </c:title>
        <c:numFmt formatCode="General" sourceLinked="1"/>
        <c:majorTickMark val="out"/>
        <c:minorTickMark val="none"/>
        <c:tickLblPos val="nextTo"/>
        <c:crossAx val="20941109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Sheet1!$B$3</c:f>
              <c:strCache>
                <c:ptCount val="1"/>
                <c:pt idx="0">
                  <c:v>lsh</c:v>
                </c:pt>
              </c:strCache>
            </c:strRef>
          </c:tx>
          <c:spPr>
            <a:ln w="47625">
              <a:noFill/>
            </a:ln>
          </c:spPr>
          <c:xVal>
            <c:numRef>
              <c:f>Sheet1!$A$4:$A$9</c:f>
              <c:numCache>
                <c:formatCode>General</c:formatCode>
                <c:ptCount val="6"/>
                <c:pt idx="0">
                  <c:v>50.0</c:v>
                </c:pt>
                <c:pt idx="1">
                  <c:v>100.0</c:v>
                </c:pt>
                <c:pt idx="2">
                  <c:v>500.0</c:v>
                </c:pt>
                <c:pt idx="3">
                  <c:v>1000.0</c:v>
                </c:pt>
                <c:pt idx="4">
                  <c:v>1500.0</c:v>
                </c:pt>
                <c:pt idx="5">
                  <c:v>2000.0</c:v>
                </c:pt>
              </c:numCache>
            </c:numRef>
          </c:xVal>
          <c:yVal>
            <c:numRef>
              <c:f>Sheet1!$B$4:$B$9</c:f>
              <c:numCache>
                <c:formatCode>General</c:formatCode>
                <c:ptCount val="6"/>
                <c:pt idx="0">
                  <c:v>0.2002</c:v>
                </c:pt>
                <c:pt idx="1">
                  <c:v>0.1881</c:v>
                </c:pt>
                <c:pt idx="2">
                  <c:v>0.2069</c:v>
                </c:pt>
                <c:pt idx="3">
                  <c:v>0.2223</c:v>
                </c:pt>
                <c:pt idx="4">
                  <c:v>0.2245</c:v>
                </c:pt>
                <c:pt idx="5">
                  <c:v>0.2246</c:v>
                </c:pt>
              </c:numCache>
            </c:numRef>
          </c:yVal>
          <c:smooth val="0"/>
        </c:ser>
        <c:ser>
          <c:idx val="1"/>
          <c:order val="1"/>
          <c:tx>
            <c:strRef>
              <c:f>Sheet1!$C$3</c:f>
              <c:strCache>
                <c:ptCount val="1"/>
                <c:pt idx="0">
                  <c:v>brute force</c:v>
                </c:pt>
              </c:strCache>
            </c:strRef>
          </c:tx>
          <c:spPr>
            <a:ln w="47625">
              <a:noFill/>
            </a:ln>
          </c:spPr>
          <c:trendline>
            <c:trendlineType val="linear"/>
            <c:dispRSqr val="0"/>
            <c:dispEq val="0"/>
          </c:trendline>
          <c:xVal>
            <c:numRef>
              <c:f>Sheet1!$A$4:$A$9</c:f>
              <c:numCache>
                <c:formatCode>General</c:formatCode>
                <c:ptCount val="6"/>
                <c:pt idx="0">
                  <c:v>50.0</c:v>
                </c:pt>
                <c:pt idx="1">
                  <c:v>100.0</c:v>
                </c:pt>
                <c:pt idx="2">
                  <c:v>500.0</c:v>
                </c:pt>
                <c:pt idx="3">
                  <c:v>1000.0</c:v>
                </c:pt>
                <c:pt idx="4">
                  <c:v>1500.0</c:v>
                </c:pt>
                <c:pt idx="5">
                  <c:v>2000.0</c:v>
                </c:pt>
              </c:numCache>
            </c:numRef>
          </c:xVal>
          <c:yVal>
            <c:numRef>
              <c:f>Sheet1!$C$4:$C$9</c:f>
              <c:numCache>
                <c:formatCode>General</c:formatCode>
                <c:ptCount val="6"/>
                <c:pt idx="0">
                  <c:v>0.2445</c:v>
                </c:pt>
                <c:pt idx="1">
                  <c:v>0.2445</c:v>
                </c:pt>
                <c:pt idx="2">
                  <c:v>0.2445</c:v>
                </c:pt>
                <c:pt idx="3">
                  <c:v>0.2445</c:v>
                </c:pt>
                <c:pt idx="4">
                  <c:v>0.2445</c:v>
                </c:pt>
                <c:pt idx="5">
                  <c:v>0.2445</c:v>
                </c:pt>
              </c:numCache>
            </c:numRef>
          </c:yVal>
          <c:smooth val="0"/>
        </c:ser>
        <c:dLbls>
          <c:showLegendKey val="0"/>
          <c:showVal val="0"/>
          <c:showCatName val="0"/>
          <c:showSerName val="0"/>
          <c:showPercent val="0"/>
          <c:showBubbleSize val="0"/>
        </c:dLbls>
        <c:axId val="2088488584"/>
        <c:axId val="2089052120"/>
      </c:scatterChart>
      <c:valAx>
        <c:axId val="2088488584"/>
        <c:scaling>
          <c:orientation val="minMax"/>
        </c:scaling>
        <c:delete val="0"/>
        <c:axPos val="b"/>
        <c:title>
          <c:tx>
            <c:rich>
              <a:bodyPr/>
              <a:lstStyle/>
              <a:p>
                <a:pPr>
                  <a:defRPr/>
                </a:pPr>
                <a:r>
                  <a:rPr lang="en-US"/>
                  <a:t>Number of Permutations</a:t>
                </a:r>
              </a:p>
            </c:rich>
          </c:tx>
          <c:layout/>
          <c:overlay val="0"/>
        </c:title>
        <c:numFmt formatCode="General" sourceLinked="1"/>
        <c:majorTickMark val="out"/>
        <c:minorTickMark val="none"/>
        <c:tickLblPos val="nextTo"/>
        <c:crossAx val="2089052120"/>
        <c:crosses val="autoZero"/>
        <c:crossBetween val="midCat"/>
      </c:valAx>
      <c:valAx>
        <c:axId val="2089052120"/>
        <c:scaling>
          <c:orientation val="minMax"/>
          <c:min val="0.15"/>
        </c:scaling>
        <c:delete val="0"/>
        <c:axPos val="l"/>
        <c:title>
          <c:tx>
            <c:rich>
              <a:bodyPr rot="-5400000" vert="horz"/>
              <a:lstStyle/>
              <a:p>
                <a:pPr>
                  <a:defRPr/>
                </a:pPr>
                <a:r>
                  <a:rPr lang="en-US"/>
                  <a:t>Average</a:t>
                </a:r>
                <a:r>
                  <a:rPr lang="en-US" baseline="0"/>
                  <a:t> Similarity</a:t>
                </a:r>
                <a:endParaRPr lang="en-US"/>
              </a:p>
            </c:rich>
          </c:tx>
          <c:layout/>
          <c:overlay val="0"/>
        </c:title>
        <c:numFmt formatCode="General" sourceLinked="1"/>
        <c:majorTickMark val="out"/>
        <c:minorTickMark val="none"/>
        <c:tickLblPos val="nextTo"/>
        <c:crossAx val="2088488584"/>
        <c:crosses val="autoZero"/>
        <c:crossBetween val="midCat"/>
      </c:valAx>
    </c:plotArea>
    <c:legend>
      <c:legendPos val="r"/>
      <c:legendEntry>
        <c:idx val="2"/>
        <c:delete val="1"/>
      </c:legendEntry>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Sheet1!$B$11</c:f>
              <c:strCache>
                <c:ptCount val="1"/>
                <c:pt idx="0">
                  <c:v>lsh</c:v>
                </c:pt>
              </c:strCache>
            </c:strRef>
          </c:tx>
          <c:spPr>
            <a:ln w="47625">
              <a:noFill/>
            </a:ln>
          </c:spPr>
          <c:xVal>
            <c:numRef>
              <c:f>Sheet1!$A$12:$A$17</c:f>
              <c:numCache>
                <c:formatCode>General</c:formatCode>
                <c:ptCount val="6"/>
                <c:pt idx="0">
                  <c:v>2.0</c:v>
                </c:pt>
                <c:pt idx="1">
                  <c:v>5.0</c:v>
                </c:pt>
                <c:pt idx="2">
                  <c:v>10.0</c:v>
                </c:pt>
                <c:pt idx="3">
                  <c:v>15.0</c:v>
                </c:pt>
                <c:pt idx="4">
                  <c:v>35.0</c:v>
                </c:pt>
                <c:pt idx="5">
                  <c:v>50.0</c:v>
                </c:pt>
              </c:numCache>
            </c:numRef>
          </c:xVal>
          <c:yVal>
            <c:numRef>
              <c:f>Sheet1!$B$12:$B$17</c:f>
              <c:numCache>
                <c:formatCode>General</c:formatCode>
                <c:ptCount val="6"/>
                <c:pt idx="0">
                  <c:v>0.244</c:v>
                </c:pt>
                <c:pt idx="1">
                  <c:v>0.2355</c:v>
                </c:pt>
                <c:pt idx="2">
                  <c:v>0.2223</c:v>
                </c:pt>
                <c:pt idx="3">
                  <c:v>0.2059</c:v>
                </c:pt>
                <c:pt idx="4">
                  <c:v>0.1784</c:v>
                </c:pt>
                <c:pt idx="5">
                  <c:v>0.162</c:v>
                </c:pt>
              </c:numCache>
            </c:numRef>
          </c:yVal>
          <c:smooth val="0"/>
        </c:ser>
        <c:ser>
          <c:idx val="1"/>
          <c:order val="1"/>
          <c:tx>
            <c:strRef>
              <c:f>Sheet1!$C$11</c:f>
              <c:strCache>
                <c:ptCount val="1"/>
                <c:pt idx="0">
                  <c:v>brute force</c:v>
                </c:pt>
              </c:strCache>
            </c:strRef>
          </c:tx>
          <c:spPr>
            <a:ln w="47625">
              <a:noFill/>
            </a:ln>
          </c:spPr>
          <c:trendline>
            <c:trendlineType val="linear"/>
            <c:dispRSqr val="0"/>
            <c:dispEq val="0"/>
          </c:trendline>
          <c:xVal>
            <c:numRef>
              <c:f>Sheet1!$A$12:$A$17</c:f>
              <c:numCache>
                <c:formatCode>General</c:formatCode>
                <c:ptCount val="6"/>
                <c:pt idx="0">
                  <c:v>2.0</c:v>
                </c:pt>
                <c:pt idx="1">
                  <c:v>5.0</c:v>
                </c:pt>
                <c:pt idx="2">
                  <c:v>10.0</c:v>
                </c:pt>
                <c:pt idx="3">
                  <c:v>15.0</c:v>
                </c:pt>
                <c:pt idx="4">
                  <c:v>35.0</c:v>
                </c:pt>
                <c:pt idx="5">
                  <c:v>50.0</c:v>
                </c:pt>
              </c:numCache>
            </c:numRef>
          </c:xVal>
          <c:yVal>
            <c:numRef>
              <c:f>Sheet1!$C$12:$C$17</c:f>
              <c:numCache>
                <c:formatCode>General</c:formatCode>
                <c:ptCount val="6"/>
                <c:pt idx="0">
                  <c:v>0.2445</c:v>
                </c:pt>
                <c:pt idx="1">
                  <c:v>0.2445</c:v>
                </c:pt>
                <c:pt idx="2">
                  <c:v>0.2445</c:v>
                </c:pt>
                <c:pt idx="3">
                  <c:v>0.2445</c:v>
                </c:pt>
                <c:pt idx="4">
                  <c:v>0.2445</c:v>
                </c:pt>
                <c:pt idx="5">
                  <c:v>0.2445</c:v>
                </c:pt>
              </c:numCache>
            </c:numRef>
          </c:yVal>
          <c:smooth val="0"/>
        </c:ser>
        <c:dLbls>
          <c:showLegendKey val="0"/>
          <c:showVal val="0"/>
          <c:showCatName val="0"/>
          <c:showSerName val="0"/>
          <c:showPercent val="0"/>
          <c:showBubbleSize val="0"/>
        </c:dLbls>
        <c:axId val="2093703416"/>
        <c:axId val="2089532872"/>
      </c:scatterChart>
      <c:valAx>
        <c:axId val="2093703416"/>
        <c:scaling>
          <c:orientation val="minMax"/>
        </c:scaling>
        <c:delete val="0"/>
        <c:axPos val="b"/>
        <c:title>
          <c:tx>
            <c:rich>
              <a:bodyPr/>
              <a:lstStyle/>
              <a:p>
                <a:pPr>
                  <a:defRPr/>
                </a:pPr>
                <a:r>
                  <a:rPr lang="en-US"/>
                  <a:t>Number of rows per band</a:t>
                </a:r>
              </a:p>
            </c:rich>
          </c:tx>
          <c:layout/>
          <c:overlay val="0"/>
        </c:title>
        <c:numFmt formatCode="General" sourceLinked="1"/>
        <c:majorTickMark val="out"/>
        <c:minorTickMark val="none"/>
        <c:tickLblPos val="nextTo"/>
        <c:crossAx val="2089532872"/>
        <c:crosses val="autoZero"/>
        <c:crossBetween val="midCat"/>
      </c:valAx>
      <c:valAx>
        <c:axId val="2089532872"/>
        <c:scaling>
          <c:orientation val="minMax"/>
          <c:min val="0.15"/>
        </c:scaling>
        <c:delete val="0"/>
        <c:axPos val="l"/>
        <c:title>
          <c:tx>
            <c:rich>
              <a:bodyPr rot="-5400000" vert="horz"/>
              <a:lstStyle/>
              <a:p>
                <a:pPr>
                  <a:defRPr/>
                </a:pPr>
                <a:r>
                  <a:rPr lang="en-US"/>
                  <a:t>Average</a:t>
                </a:r>
                <a:r>
                  <a:rPr lang="en-US" baseline="0"/>
                  <a:t> Similarity</a:t>
                </a:r>
                <a:endParaRPr lang="en-US"/>
              </a:p>
            </c:rich>
          </c:tx>
          <c:layout/>
          <c:overlay val="0"/>
        </c:title>
        <c:numFmt formatCode="General" sourceLinked="1"/>
        <c:majorTickMark val="out"/>
        <c:minorTickMark val="none"/>
        <c:tickLblPos val="nextTo"/>
        <c:crossAx val="2093703416"/>
        <c:crosses val="autoZero"/>
        <c:crossBetween val="midCat"/>
      </c:valAx>
      <c:spPr>
        <a:noFill/>
        <a:ln w="25400">
          <a:noFill/>
        </a:ln>
      </c:spPr>
    </c:plotArea>
    <c:legend>
      <c:legendPos val="r"/>
      <c:legendEntry>
        <c:idx val="2"/>
        <c:delete val="1"/>
      </c:legendEntry>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Data Size and</a:t>
            </a:r>
            <a:r>
              <a:rPr lang="en-US" sz="1400" baseline="0"/>
              <a:t> Running Time</a:t>
            </a:r>
            <a:endParaRPr lang="en-US" sz="1400"/>
          </a:p>
        </c:rich>
      </c:tx>
      <c:layout/>
      <c:overlay val="0"/>
    </c:title>
    <c:autoTitleDeleted val="0"/>
    <c:plotArea>
      <c:layout/>
      <c:lineChart>
        <c:grouping val="standard"/>
        <c:varyColors val="0"/>
        <c:ser>
          <c:idx val="0"/>
          <c:order val="0"/>
          <c:tx>
            <c:strRef>
              <c:f>'[LSH2 Charts.xlsx]Sheet1'!$A$12</c:f>
              <c:strCache>
                <c:ptCount val="1"/>
                <c:pt idx="0">
                  <c:v>BF Run Time</c:v>
                </c:pt>
              </c:strCache>
            </c:strRef>
          </c:tx>
          <c:spPr>
            <a:ln w="28575" cmpd="sng">
              <a:solidFill>
                <a:schemeClr val="tx2"/>
              </a:solidFill>
            </a:ln>
          </c:spPr>
          <c:marker>
            <c:symbol val="none"/>
          </c:marker>
          <c:cat>
            <c:numRef>
              <c:f>'[LSH2 Charts.xlsx]Sheet1'!$B$9:$F$9</c:f>
              <c:numCache>
                <c:formatCode>General</c:formatCode>
                <c:ptCount val="5"/>
                <c:pt idx="0">
                  <c:v>100.0</c:v>
                </c:pt>
                <c:pt idx="1">
                  <c:v>500.0</c:v>
                </c:pt>
                <c:pt idx="2">
                  <c:v>1000.0</c:v>
                </c:pt>
                <c:pt idx="3">
                  <c:v>2000.0</c:v>
                </c:pt>
                <c:pt idx="4">
                  <c:v>5000.0</c:v>
                </c:pt>
              </c:numCache>
            </c:numRef>
          </c:cat>
          <c:val>
            <c:numRef>
              <c:f>'[LSH2 Charts.xlsx]Sheet1'!$B$12:$F$12</c:f>
              <c:numCache>
                <c:formatCode>General</c:formatCode>
                <c:ptCount val="5"/>
                <c:pt idx="0">
                  <c:v>0.125362</c:v>
                </c:pt>
                <c:pt idx="1">
                  <c:v>1.3553</c:v>
                </c:pt>
                <c:pt idx="2">
                  <c:v>4.711</c:v>
                </c:pt>
                <c:pt idx="3">
                  <c:v>21.1088</c:v>
                </c:pt>
                <c:pt idx="4">
                  <c:v>132.8635</c:v>
                </c:pt>
              </c:numCache>
            </c:numRef>
          </c:val>
          <c:smooth val="0"/>
        </c:ser>
        <c:ser>
          <c:idx val="1"/>
          <c:order val="1"/>
          <c:tx>
            <c:strRef>
              <c:f>'[LSH2 Charts.xlsx]Sheet1'!$A$13</c:f>
              <c:strCache>
                <c:ptCount val="1"/>
                <c:pt idx="0">
                  <c:v>LSH Run Time</c:v>
                </c:pt>
              </c:strCache>
            </c:strRef>
          </c:tx>
          <c:spPr>
            <a:ln w="28575" cmpd="sng"/>
          </c:spPr>
          <c:marker>
            <c:symbol val="none"/>
          </c:marker>
          <c:cat>
            <c:numRef>
              <c:f>'[LSH2 Charts.xlsx]Sheet1'!$B$9:$F$9</c:f>
              <c:numCache>
                <c:formatCode>General</c:formatCode>
                <c:ptCount val="5"/>
                <c:pt idx="0">
                  <c:v>100.0</c:v>
                </c:pt>
                <c:pt idx="1">
                  <c:v>500.0</c:v>
                </c:pt>
                <c:pt idx="2">
                  <c:v>1000.0</c:v>
                </c:pt>
                <c:pt idx="3">
                  <c:v>2000.0</c:v>
                </c:pt>
                <c:pt idx="4">
                  <c:v>5000.0</c:v>
                </c:pt>
              </c:numCache>
            </c:numRef>
          </c:cat>
          <c:val>
            <c:numRef>
              <c:f>'[LSH2 Charts.xlsx]Sheet1'!$B$13:$F$13</c:f>
              <c:numCache>
                <c:formatCode>General</c:formatCode>
                <c:ptCount val="5"/>
                <c:pt idx="0">
                  <c:v>0.2488</c:v>
                </c:pt>
                <c:pt idx="1">
                  <c:v>1.7805</c:v>
                </c:pt>
                <c:pt idx="2">
                  <c:v>5.4868</c:v>
                </c:pt>
                <c:pt idx="3">
                  <c:v>22.1351</c:v>
                </c:pt>
                <c:pt idx="4">
                  <c:v>140.3894</c:v>
                </c:pt>
              </c:numCache>
            </c:numRef>
          </c:val>
          <c:smooth val="0"/>
        </c:ser>
        <c:dLbls>
          <c:showLegendKey val="0"/>
          <c:showVal val="0"/>
          <c:showCatName val="0"/>
          <c:showSerName val="0"/>
          <c:showPercent val="0"/>
          <c:showBubbleSize val="0"/>
        </c:dLbls>
        <c:marker val="1"/>
        <c:smooth val="0"/>
        <c:axId val="2081110088"/>
        <c:axId val="2080730648"/>
      </c:lineChart>
      <c:catAx>
        <c:axId val="2081110088"/>
        <c:scaling>
          <c:orientation val="minMax"/>
        </c:scaling>
        <c:delete val="0"/>
        <c:axPos val="b"/>
        <c:title>
          <c:tx>
            <c:rich>
              <a:bodyPr/>
              <a:lstStyle/>
              <a:p>
                <a:pPr>
                  <a:defRPr/>
                </a:pPr>
                <a:r>
                  <a:rPr lang="en-US"/>
                  <a:t>Data Size</a:t>
                </a:r>
              </a:p>
            </c:rich>
          </c:tx>
          <c:layout/>
          <c:overlay val="0"/>
        </c:title>
        <c:numFmt formatCode="General" sourceLinked="1"/>
        <c:majorTickMark val="none"/>
        <c:minorTickMark val="none"/>
        <c:tickLblPos val="nextTo"/>
        <c:crossAx val="2080730648"/>
        <c:crosses val="autoZero"/>
        <c:auto val="1"/>
        <c:lblAlgn val="ctr"/>
        <c:lblOffset val="100"/>
        <c:noMultiLvlLbl val="0"/>
      </c:catAx>
      <c:valAx>
        <c:axId val="2080730648"/>
        <c:scaling>
          <c:orientation val="minMax"/>
        </c:scaling>
        <c:delete val="0"/>
        <c:axPos val="l"/>
        <c:majorGridlines/>
        <c:title>
          <c:tx>
            <c:rich>
              <a:bodyPr rot="0" vert="horz"/>
              <a:lstStyle/>
              <a:p>
                <a:pPr>
                  <a:defRPr/>
                </a:pPr>
                <a:r>
                  <a:rPr lang="en-US"/>
                  <a:t>Running</a:t>
                </a:r>
                <a:r>
                  <a:rPr lang="en-US" baseline="0"/>
                  <a:t> Time</a:t>
                </a:r>
              </a:p>
              <a:p>
                <a:pPr>
                  <a:defRPr/>
                </a:pPr>
                <a:r>
                  <a:rPr lang="en-US" baseline="0"/>
                  <a:t>(Seconds)</a:t>
                </a:r>
                <a:endParaRPr lang="en-US"/>
              </a:p>
            </c:rich>
          </c:tx>
          <c:layout/>
          <c:overlay val="0"/>
        </c:title>
        <c:numFmt formatCode="General" sourceLinked="1"/>
        <c:majorTickMark val="none"/>
        <c:minorTickMark val="none"/>
        <c:tickLblPos val="nextTo"/>
        <c:crossAx val="20811100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K and Running Time</a:t>
            </a:r>
          </a:p>
        </c:rich>
      </c:tx>
      <c:layout/>
      <c:overlay val="0"/>
    </c:title>
    <c:autoTitleDeleted val="0"/>
    <c:plotArea>
      <c:layout/>
      <c:lineChart>
        <c:grouping val="standard"/>
        <c:varyColors val="0"/>
        <c:ser>
          <c:idx val="0"/>
          <c:order val="0"/>
          <c:tx>
            <c:strRef>
              <c:f>'[LSH2 Charts.xlsx]Sheet1'!$A$5</c:f>
              <c:strCache>
                <c:ptCount val="1"/>
                <c:pt idx="0">
                  <c:v>BF Running Time</c:v>
                </c:pt>
              </c:strCache>
            </c:strRef>
          </c:tx>
          <c:spPr>
            <a:ln w="28575" cmpd="sng"/>
          </c:spPr>
          <c:marker>
            <c:symbol val="none"/>
          </c:marker>
          <c:cat>
            <c:numRef>
              <c:f>'[LSH2 Charts.xlsx]Sheet1'!$B$2:$F$2</c:f>
              <c:numCache>
                <c:formatCode>General</c:formatCode>
                <c:ptCount val="5"/>
                <c:pt idx="0">
                  <c:v>3.0</c:v>
                </c:pt>
                <c:pt idx="1">
                  <c:v>5.0</c:v>
                </c:pt>
                <c:pt idx="2">
                  <c:v>10.0</c:v>
                </c:pt>
                <c:pt idx="3">
                  <c:v>50.0</c:v>
                </c:pt>
                <c:pt idx="4">
                  <c:v>100.0</c:v>
                </c:pt>
              </c:numCache>
            </c:numRef>
          </c:cat>
          <c:val>
            <c:numRef>
              <c:f>'[LSH2 Charts.xlsx]Sheet1'!$B$5:$F$5</c:f>
              <c:numCache>
                <c:formatCode>General</c:formatCode>
                <c:ptCount val="5"/>
                <c:pt idx="0">
                  <c:v>4.610916999999997</c:v>
                </c:pt>
                <c:pt idx="1">
                  <c:v>4.7555</c:v>
                </c:pt>
                <c:pt idx="2">
                  <c:v>5.027299999999999</c:v>
                </c:pt>
                <c:pt idx="3">
                  <c:v>5.0749</c:v>
                </c:pt>
                <c:pt idx="4">
                  <c:v>5.122999999999998</c:v>
                </c:pt>
              </c:numCache>
            </c:numRef>
          </c:val>
          <c:smooth val="0"/>
        </c:ser>
        <c:ser>
          <c:idx val="1"/>
          <c:order val="1"/>
          <c:tx>
            <c:strRef>
              <c:f>'[LSH2 Charts.xlsx]Sheet1'!$A$6</c:f>
              <c:strCache>
                <c:ptCount val="1"/>
                <c:pt idx="0">
                  <c:v>LSH Running Time</c:v>
                </c:pt>
              </c:strCache>
            </c:strRef>
          </c:tx>
          <c:spPr>
            <a:ln w="28575" cmpd="sng"/>
          </c:spPr>
          <c:marker>
            <c:symbol val="none"/>
          </c:marker>
          <c:cat>
            <c:numRef>
              <c:f>'[LSH2 Charts.xlsx]Sheet1'!$B$2:$F$2</c:f>
              <c:numCache>
                <c:formatCode>General</c:formatCode>
                <c:ptCount val="5"/>
                <c:pt idx="0">
                  <c:v>3.0</c:v>
                </c:pt>
                <c:pt idx="1">
                  <c:v>5.0</c:v>
                </c:pt>
                <c:pt idx="2">
                  <c:v>10.0</c:v>
                </c:pt>
                <c:pt idx="3">
                  <c:v>50.0</c:v>
                </c:pt>
                <c:pt idx="4">
                  <c:v>100.0</c:v>
                </c:pt>
              </c:numCache>
            </c:numRef>
          </c:cat>
          <c:val>
            <c:numRef>
              <c:f>'[LSH2 Charts.xlsx]Sheet1'!$B$6:$F$6</c:f>
              <c:numCache>
                <c:formatCode>General</c:formatCode>
                <c:ptCount val="5"/>
                <c:pt idx="0">
                  <c:v>5.307003999999998</c:v>
                </c:pt>
                <c:pt idx="1">
                  <c:v>5.4711</c:v>
                </c:pt>
                <c:pt idx="2">
                  <c:v>5.6156</c:v>
                </c:pt>
                <c:pt idx="3">
                  <c:v>5.657199999999997</c:v>
                </c:pt>
                <c:pt idx="4">
                  <c:v>5.7809</c:v>
                </c:pt>
              </c:numCache>
            </c:numRef>
          </c:val>
          <c:smooth val="0"/>
        </c:ser>
        <c:dLbls>
          <c:showLegendKey val="0"/>
          <c:showVal val="0"/>
          <c:showCatName val="0"/>
          <c:showSerName val="0"/>
          <c:showPercent val="0"/>
          <c:showBubbleSize val="0"/>
        </c:dLbls>
        <c:marker val="1"/>
        <c:smooth val="0"/>
        <c:axId val="2088020632"/>
        <c:axId val="2093864008"/>
      </c:lineChart>
      <c:catAx>
        <c:axId val="2088020632"/>
        <c:scaling>
          <c:orientation val="minMax"/>
        </c:scaling>
        <c:delete val="0"/>
        <c:axPos val="b"/>
        <c:title>
          <c:tx>
            <c:rich>
              <a:bodyPr/>
              <a:lstStyle/>
              <a:p>
                <a:pPr>
                  <a:defRPr/>
                </a:pPr>
                <a:r>
                  <a:rPr lang="en-US"/>
                  <a:t>K (Number</a:t>
                </a:r>
                <a:r>
                  <a:rPr lang="en-US" baseline="0"/>
                  <a:t> of Neighbors)</a:t>
                </a:r>
                <a:endParaRPr lang="en-US"/>
              </a:p>
            </c:rich>
          </c:tx>
          <c:layout/>
          <c:overlay val="0"/>
        </c:title>
        <c:numFmt formatCode="General" sourceLinked="1"/>
        <c:majorTickMark val="out"/>
        <c:minorTickMark val="none"/>
        <c:tickLblPos val="nextTo"/>
        <c:crossAx val="2093864008"/>
        <c:crosses val="autoZero"/>
        <c:auto val="1"/>
        <c:lblAlgn val="ctr"/>
        <c:lblOffset val="100"/>
        <c:noMultiLvlLbl val="0"/>
      </c:catAx>
      <c:valAx>
        <c:axId val="2093864008"/>
        <c:scaling>
          <c:orientation val="minMax"/>
        </c:scaling>
        <c:delete val="0"/>
        <c:axPos val="l"/>
        <c:majorGridlines/>
        <c:title>
          <c:tx>
            <c:rich>
              <a:bodyPr rot="0" vert="horz"/>
              <a:lstStyle/>
              <a:p>
                <a:pPr>
                  <a:defRPr/>
                </a:pPr>
                <a:r>
                  <a:rPr lang="en-US"/>
                  <a:t>Running Time</a:t>
                </a:r>
              </a:p>
              <a:p>
                <a:pPr>
                  <a:defRPr/>
                </a:pPr>
                <a:r>
                  <a:rPr lang="en-US"/>
                  <a:t>(Seconds</a:t>
                </a:r>
                <a:r>
                  <a:rPr lang="en-US" baseline="0"/>
                  <a:t>)</a:t>
                </a:r>
                <a:endParaRPr lang="en-US"/>
              </a:p>
            </c:rich>
          </c:tx>
          <c:layout/>
          <c:overlay val="0"/>
        </c:title>
        <c:numFmt formatCode="General" sourceLinked="1"/>
        <c:majorTickMark val="out"/>
        <c:minorTickMark val="none"/>
        <c:tickLblPos val="nextTo"/>
        <c:crossAx val="20880206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404</Words>
  <Characters>2305</Characters>
  <Application>Microsoft Macintosh Word</Application>
  <DocSecurity>0</DocSecurity>
  <Lines>19</Lines>
  <Paragraphs>5</Paragraphs>
  <ScaleCrop>false</ScaleCrop>
  <Company>Carleton College</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MIN YOO</dc:creator>
  <cp:keywords/>
  <dc:description/>
  <cp:lastModifiedBy>JI MIN YOO</cp:lastModifiedBy>
  <cp:revision>3</cp:revision>
  <dcterms:created xsi:type="dcterms:W3CDTF">2015-01-22T02:57:00Z</dcterms:created>
  <dcterms:modified xsi:type="dcterms:W3CDTF">2015-01-22T03:26:00Z</dcterms:modified>
</cp:coreProperties>
</file>