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12"/>
        <w:jc w:val="center"/>
      </w:pPr>
      <w:r>
        <w:rPr>
          <w:rFonts w:ascii="Arial" w:cs="Arial" w:eastAsia="Arial" w:hAnsi="Arial"/>
          <w:b/>
          <w:bCs/>
          <w:sz w:val="30"/>
          <w:szCs w:val="30"/>
        </w:rPr>
        <w:t xml:space="preserve">Technique-Specific Audiovisual Features of Guided Meditation Videos on YouTube and Their Association With Viewer Engagement: Protocol for a Vision-Language Model–Based Infodemiology Study</w:t>
      </w:r>
    </w:p>
    <w:p>
      <w:pPr>
        <w:spacing w:after="60" w:line="300"/>
        <w:jc w:val="center"/>
      </w:pPr>
      <w:r>
        <w:rPr>
          <w:rFonts w:ascii="Arial" w:cs="Arial" w:eastAsia="Arial" w:hAnsi="Arial"/>
          <w:sz w:val="22"/>
          <w:szCs w:val="22"/>
        </w:rPr>
        <w:t xml:space="preserve">[Author 1], [Author 2], [Author 3]</w:t>
      </w:r>
    </w:p>
    <w:p>
      <w:pPr>
        <w:spacing w:after="60" w:line="280"/>
        <w:jc w:val="center"/>
      </w:pPr>
      <w:r>
        <w:rPr>
          <w:rFonts w:ascii="Arial" w:cs="Arial" w:eastAsia="Arial" w:hAnsi="Arial"/>
          <w:i/>
          <w:iCs/>
          <w:sz w:val="20"/>
          <w:szCs w:val="20"/>
        </w:rPr>
        <w:t xml:space="preserve">[Affiliation(s)] · Corresponding author: [name, email]</w:t>
      </w:r>
    </w:p>
    <w:p>
      <w:pPr>
        <w:spacing w:after="240" w:line="280"/>
        <w:jc w:val="center"/>
      </w:pPr>
      <w:r>
        <w:rPr>
          <w:rFonts w:ascii="Arial" w:cs="Arial" w:eastAsia="Arial" w:hAnsi="Arial"/>
          <w:color w:val="555555"/>
          <w:sz w:val="20"/>
          <w:szCs w:val="20"/>
        </w:rPr>
        <w:t xml:space="preserve">Prepared as a study protocol for submission to JMIR Infodemiology (Protocol/Proposal article type)</w:t>
      </w:r>
    </w:p>
    <w:p>
      <w:pPr>
        <w:pBdr>
          <w:bottom w:val="single" w:color="2E75B6" w:sz="6" w:space="2"/>
        </w:pBdr>
        <w:spacing w:after="80" w:before="60"/>
      </w:pPr>
      <w:r>
        <w:rPr>
          <w:rFonts w:ascii="Arial" w:cs="Arial" w:eastAsia="Arial" w:hAnsi="Arial"/>
          <w:b/>
          <w:bCs/>
          <w:sz w:val="22"/>
          <w:szCs w:val="22"/>
        </w:rPr>
        <w:t xml:space="preserve">국문 요약 (Korean summary)</w:t>
      </w:r>
    </w:p>
    <w:p>
      <w:pPr>
        <w:spacing w:after="220" w:line="312"/>
        <w:jc w:val="both"/>
      </w:pPr>
      <w:r>
        <w:rPr>
          <w:rFonts w:ascii="Arial" w:cs="Arial" w:eastAsia="Arial" w:hAnsi="Arial"/>
          <w:sz w:val="22"/>
          <w:szCs w:val="22"/>
        </w:rPr>
        <w:t xml:space="preserve">이 프로토콜은 YouTube의 가이드 명상 영상을 대상으로, 명상 기법(focused-attention, body scan, loving-kindness 등)과 명상 고유의 시청각 특성(화면 호흡 가이드 애니메이션, 자세, 침묵–음성 비율, 배경음 등)을 Vision-Language Model(VLM)로 대규모 코딩하고, 이 특성들이 시청자 참여(좋아요·댓글 비율 등)와 어떻게 연관되는지를 기법별로 분석한다. 임상의 채점은 필요하지 않으며(정답 = 플랫폼 객관 지표 + VLM이 추출한 객관적 속성), 타당도는 모델 간 일치도·재검사 신뢰도·프롬프트 민감도 및 비전문 연구보조원 소표본으로 확보한다. 본 연구는 영상의 임상적 정확성·안전성을 판단하지 않으며, "참여를 이끄는 특성"만을 해석한다.</w:t>
      </w:r>
    </w:p>
    <w:p>
      <w:pPr>
        <w:pStyle w:val="Heading1"/>
      </w:pPr>
      <w:r>
        <w:rPr>
          <w:rFonts w:ascii="Arial" w:cs="Arial" w:eastAsia="Arial" w:hAnsi="Arial"/>
        </w:rPr>
        <w:t xml:space="preserve">Abstract</w:t>
      </w:r>
    </w:p>
    <w:p>
      <w:pPr>
        <w:spacing w:after="140" w:line="312"/>
        <w:jc w:val="both"/>
      </w:pPr>
      <w:r>
        <w:rPr>
          <w:rFonts w:ascii="Arial" w:cs="Arial" w:eastAsia="Arial" w:hAnsi="Arial"/>
          <w:b/>
          <w:bCs/>
          <w:sz w:val="22"/>
          <w:szCs w:val="22"/>
        </w:rPr>
        <w:t xml:space="preserve">Background: </w:t>
      </w:r>
      <w:r>
        <w:rPr>
          <w:rFonts w:ascii="Arial" w:cs="Arial" w:eastAsia="Arial" w:hAnsi="Arial"/>
          <w:sz w:val="22"/>
          <w:szCs w:val="22"/>
        </w:rPr>
        <w:t xml:space="preserve">Guided meditation is among the most widely consumed self-management practices on video platforms, and YouTube is a primary point of access. Whether viewers engage with and complete a session is a prerequisite for any benefit, yet little is known about which characteristics of meditation videos sustain engagement. Prior work on health-video engagement has relied on manual coding or on general (non-meditation) short-form content, and emerging vision-language model (VLM) approaches to engagement have targeted general edutainment rather than a specific clinical-behavioral domain. No study has used VLMs to characterize meditation videos by technique and by meditation-specific audiovisual features and to link these to viewer engagement. Importantly, this question can be answered without clinician scoring, because the reference signals are objective platform metrics and objectively codable visual attributes rather than clinical-quality judgments.</w:t>
      </w:r>
    </w:p>
    <w:p>
      <w:pPr>
        <w:spacing w:after="140" w:line="312"/>
        <w:jc w:val="both"/>
      </w:pPr>
      <w:r>
        <w:rPr>
          <w:rFonts w:ascii="Arial" w:cs="Arial" w:eastAsia="Arial" w:hAnsi="Arial"/>
          <w:b/>
          <w:bCs/>
          <w:sz w:val="22"/>
          <w:szCs w:val="22"/>
        </w:rPr>
        <w:t xml:space="preserve">Objective: </w:t>
      </w:r>
      <w:r>
        <w:rPr>
          <w:rFonts w:ascii="Arial" w:cs="Arial" w:eastAsia="Arial" w:hAnsi="Arial"/>
          <w:sz w:val="22"/>
          <w:szCs w:val="22"/>
        </w:rPr>
        <w:t xml:space="preserve">To (1) characterize the landscape of guided meditation videos on YouTube by technique and audiovisual presentation using VLMs; (2) quantify associations between meditation-specific audiovisual features and viewer engagement, stratified by technique; and (3) establish the reliability of VLM-based coding of meditation videos.</w:t>
      </w:r>
    </w:p>
    <w:p>
      <w:pPr>
        <w:spacing w:after="140" w:line="312"/>
        <w:jc w:val="both"/>
      </w:pPr>
      <w:r>
        <w:rPr>
          <w:rFonts w:ascii="Arial" w:cs="Arial" w:eastAsia="Arial" w:hAnsi="Arial"/>
          <w:b/>
          <w:bCs/>
          <w:sz w:val="22"/>
          <w:szCs w:val="22"/>
        </w:rPr>
        <w:t xml:space="preserve">Methods: </w:t>
      </w:r>
      <w:r>
        <w:rPr>
          <w:rFonts w:ascii="Arial" w:cs="Arial" w:eastAsia="Arial" w:hAnsi="Arial"/>
          <w:sz w:val="22"/>
          <w:szCs w:val="22"/>
        </w:rPr>
        <w:t xml:space="preserve">We will conduct a cross-sectional infodemiology content analysis. Videos will be retrieved through the YouTube Data API v3 using technique-specific seed queries, deduplicated, and screened against predefined eligibility criteria (target n ≈ 2000 eligible videos). Sampled frames and transcripts will be processed by VLMs that return structured codes from an a priori codebook. Validity will rest on coding reliability rather than clinician adjudication: inter-model agreement across at least two VLMs, intra-model test-retest consistency, prompt-sensitivity analysis, and agreement with two trained non-expert raters on an objectively codable random subsample. Associations will be modeled with multivariable count/ratio regressions including a channel-level random effect, with technique×feature interactions for the stratified aims. The protocol will be preregistered.</w:t>
      </w:r>
    </w:p>
    <w:p>
      <w:pPr>
        <w:spacing w:after="140" w:line="312"/>
        <w:jc w:val="both"/>
      </w:pPr>
      <w:r>
        <w:rPr>
          <w:rFonts w:ascii="Arial" w:cs="Arial" w:eastAsia="Arial" w:hAnsi="Arial"/>
          <w:b/>
          <w:bCs/>
          <w:sz w:val="22"/>
          <w:szCs w:val="22"/>
        </w:rPr>
        <w:t xml:space="preserve">Expected Results: </w:t>
      </w:r>
      <w:r>
        <w:rPr>
          <w:rFonts w:ascii="Arial" w:cs="Arial" w:eastAsia="Arial" w:hAnsi="Arial"/>
          <w:sz w:val="22"/>
          <w:szCs w:val="22"/>
        </w:rPr>
        <w:t xml:space="preserve">We anticipate technique-dependent associations between meditation-specific features (e.g., synchronized visual breathing guides, higher silence-to-voice ratios) and engagement. Data collection and analysis are planned over approximately 9 months from registration.</w:t>
      </w:r>
    </w:p>
    <w:p>
      <w:pPr>
        <w:spacing w:after="140" w:line="312"/>
        <w:jc w:val="both"/>
      </w:pPr>
      <w:r>
        <w:rPr>
          <w:rFonts w:ascii="Arial" w:cs="Arial" w:eastAsia="Arial" w:hAnsi="Arial"/>
          <w:b/>
          <w:bCs/>
          <w:sz w:val="22"/>
          <w:szCs w:val="22"/>
        </w:rPr>
        <w:t xml:space="preserve">Conclusions: </w:t>
      </w:r>
      <w:r>
        <w:rPr>
          <w:rFonts w:ascii="Arial" w:cs="Arial" w:eastAsia="Arial" w:hAnsi="Arial"/>
          <w:sz w:val="22"/>
          <w:szCs w:val="22"/>
        </w:rPr>
        <w:t xml:space="preserve">The study will provide a scalable, interpretable, and clinician-free framework for characterizing meditation self-management content and the features associated with audience engagement. Findings describe engagement, not clinical efficacy, and should not be read as evidence of therapeutic benefit.</w:t>
      </w:r>
    </w:p>
    <w:p>
      <w:pPr>
        <w:spacing w:after="200" w:before="80" w:line="300"/>
      </w:pPr>
      <w:r>
        <w:rPr>
          <w:rFonts w:ascii="Arial" w:cs="Arial" w:eastAsia="Arial" w:hAnsi="Arial"/>
          <w:b/>
          <w:bCs/>
          <w:sz w:val="22"/>
          <w:szCs w:val="22"/>
        </w:rPr>
        <w:t xml:space="preserve">Keywords: </w:t>
      </w:r>
      <w:r>
        <w:rPr>
          <w:rFonts w:ascii="Arial" w:cs="Arial" w:eastAsia="Arial" w:hAnsi="Arial"/>
          <w:sz w:val="22"/>
          <w:szCs w:val="22"/>
        </w:rPr>
        <w:t xml:space="preserve">meditation; mindfulness; YouTube; vision-language model; multimodal analysis; infodemiology; viewer engagement; self-management; digital health; content analysis</w:t>
      </w:r>
    </w:p>
    <w:p>
      <w:r>
        <w:br w:type="page"/>
      </w:r>
    </w:p>
    <w:p>
      <w:pPr>
        <w:pStyle w:val="Heading1"/>
      </w:pPr>
      <w:r>
        <w:rPr>
          <w:rFonts w:ascii="Arial" w:cs="Arial" w:eastAsia="Arial" w:hAnsi="Arial"/>
        </w:rPr>
        <w:t xml:space="preserve">Introduction</w:t>
      </w:r>
    </w:p>
    <w:p>
      <w:pPr>
        <w:spacing w:after="160" w:line="312"/>
        <w:jc w:val="both"/>
      </w:pPr>
      <w:r>
        <w:rPr>
          <w:rFonts w:ascii="Arial" w:cs="Arial" w:eastAsia="Arial" w:hAnsi="Arial"/>
          <w:sz w:val="22"/>
          <w:szCs w:val="22"/>
        </w:rPr>
        <w:t xml:space="preserve">Meditation and mindfulness practices are widely used for stress, sleep, anxiety, low mood, and chronic pain, and digital delivery has made them accessible at population scale. YouTube is one of the most-used free sources of guided meditation, functioning as an informal self-management and self-training resource that people return to repeatedly. Because any plausible benefit depends on a viewer actually attending to and completing a session, the features of a video that capture attention and sustain engagement are directly relevant to its real-world usefulness as a self-management tool.</w:t>
      </w:r>
    </w:p>
    <w:p>
      <w:pPr>
        <w:spacing w:after="160" w:line="312"/>
        <w:jc w:val="both"/>
      </w:pPr>
      <w:r>
        <w:rPr>
          <w:rFonts w:ascii="Arial" w:cs="Arial" w:eastAsia="Arial" w:hAnsi="Arial"/>
          <w:sz w:val="22"/>
          <w:szCs w:val="22"/>
        </w:rPr>
        <w:t xml:space="preserve">Three bodies of work bear on this question but leave a clear gap. First, the quality and characteristics of health-related YouTube and short-form videos have been studied extensively, but predominantly through manual rating instruments applied to modest samples, and — in the engagement literature — through general (non-meditation) health content; a recent study of health short-form videos on a major platform linked visual and auditory features to engagement using classical feature extraction rather than multimodal foundation models. Second, VLMs and large multimodal models have begun to be used to predict viewer engagement from audiovisual features, but this work has targeted general short-form edutainment and user-generated content, without a domain-specific behavioral focus. Third, the meditation literature offers validated taxonomies of techniques, yet these have been developed from texts and clinical descriptions, not from the content actually circulating on video platforms.</w:t>
      </w:r>
    </w:p>
    <w:p>
      <w:pPr>
        <w:spacing w:after="160" w:line="312"/>
        <w:jc w:val="both"/>
      </w:pPr>
      <w:r>
        <w:rPr>
          <w:rFonts w:ascii="Arial" w:cs="Arial" w:eastAsia="Arial" w:hAnsi="Arial"/>
          <w:sz w:val="22"/>
          <w:szCs w:val="22"/>
        </w:rPr>
        <w:t xml:space="preserve">What is missing is a study that (a) focuses on meditation as a behavioral self-management domain, (b) distinguishes meditation techniques, and (c) measures meditation-specific audiovisual features that neither metadata nor transcripts capture — for example, whether an on-screen breathing animation is present and whether its pace matches the spoken guidance, the demonstrated posture, the ratio of silence to spoken instruction, and the type of background sound. These are inherently visual, time-resolved properties for which VLMs are well suited. Crucially, answering this question does not require clinician scoring: the outcomes are objective platform metrics, and the predictors are objectively codable presentation attributes rather than judgments of clinical correctness. Validity therefore rests on the reliability and reproducibility of automated coding, which we build into the design. We are explicit that engagement is not a measure of clinical benefit, and we make no claims about the therapeutic accuracy or safety of any video.</w:t>
      </w:r>
    </w:p>
    <w:p>
      <w:pPr>
        <w:pStyle w:val="Heading2"/>
      </w:pPr>
      <w:r>
        <w:rPr>
          <w:rFonts w:ascii="Arial" w:cs="Arial" w:eastAsia="Arial" w:hAnsi="Arial"/>
        </w:rPr>
        <w:t xml:space="preserve">Objectives, research questions, and hypotheses</w:t>
      </w:r>
    </w:p>
    <w:p>
      <w:pPr>
        <w:spacing w:after="160" w:line="312"/>
        <w:jc w:val="both"/>
      </w:pPr>
      <w:r>
        <w:rPr>
          <w:rFonts w:ascii="Arial" w:cs="Arial" w:eastAsia="Arial" w:hAnsi="Arial"/>
          <w:sz w:val="22"/>
          <w:szCs w:val="22"/>
        </w:rPr>
        <w:t xml:space="preserve">This protocol addresses three aims, operationalized as the following research questions (RQs):</w:t>
      </w:r>
    </w:p>
    <w:p>
      <w:pPr>
        <w:pStyle w:val="ListParagraph"/>
        <w:numPr>
          <w:ilvl w:val="0"/>
          <w:numId w:val="2"/>
        </w:numPr>
        <w:spacing w:after="100" w:line="300"/>
        <w:jc w:val="both"/>
      </w:pPr>
      <w:r>
        <w:rPr>
          <w:rFonts w:ascii="Arial" w:cs="Arial" w:eastAsia="Arial" w:hAnsi="Arial"/>
          <w:sz w:val="22"/>
          <w:szCs w:val="22"/>
        </w:rPr>
        <w:t xml:space="preserve">RQ1 (landscape): How are meditation techniques and audiovisual presentation features distributed across popular guided meditation videos on YouTube?</w:t>
      </w:r>
    </w:p>
    <w:p>
      <w:pPr>
        <w:pStyle w:val="ListParagraph"/>
        <w:numPr>
          <w:ilvl w:val="0"/>
          <w:numId w:val="2"/>
        </w:numPr>
        <w:spacing w:after="100" w:line="300"/>
        <w:jc w:val="both"/>
      </w:pPr>
      <w:r>
        <w:rPr>
          <w:rFonts w:ascii="Arial" w:cs="Arial" w:eastAsia="Arial" w:hAnsi="Arial"/>
          <w:sz w:val="22"/>
          <w:szCs w:val="22"/>
        </w:rPr>
        <w:t xml:space="preserve">RQ2 (association): Which meditation-specific audiovisual features are associated with viewer engagement after adjustment for session length, channel size, and recency?</w:t>
      </w:r>
    </w:p>
    <w:p>
      <w:pPr>
        <w:pStyle w:val="ListParagraph"/>
        <w:numPr>
          <w:ilvl w:val="0"/>
          <w:numId w:val="2"/>
        </w:numPr>
        <w:spacing w:after="100" w:line="300"/>
        <w:jc w:val="both"/>
      </w:pPr>
      <w:r>
        <w:rPr>
          <w:rFonts w:ascii="Arial" w:cs="Arial" w:eastAsia="Arial" w:hAnsi="Arial"/>
          <w:sz w:val="22"/>
          <w:szCs w:val="22"/>
        </w:rPr>
        <w:t xml:space="preserve">RQ3 (moderation): Do feature–engagement associations differ by meditation technique?</w:t>
      </w:r>
    </w:p>
    <w:p>
      <w:pPr>
        <w:pStyle w:val="ListParagraph"/>
        <w:numPr>
          <w:ilvl w:val="0"/>
          <w:numId w:val="2"/>
        </w:numPr>
        <w:spacing w:after="100" w:line="300"/>
        <w:jc w:val="both"/>
      </w:pPr>
      <w:r>
        <w:rPr>
          <w:rFonts w:ascii="Arial" w:cs="Arial" w:eastAsia="Arial" w:hAnsi="Arial"/>
          <w:sz w:val="22"/>
          <w:szCs w:val="22"/>
        </w:rPr>
        <w:t xml:space="preserve">RQ4 (validity): How reliable is VLM-based coding of meditation videos, in terms of inter-model agreement, test-retest consistency, and prompt sensitivity?</w:t>
      </w:r>
    </w:p>
    <w:p>
      <w:pPr>
        <w:spacing w:after="160" w:line="312"/>
        <w:jc w:val="both"/>
      </w:pPr>
      <w:r>
        <w:rPr>
          <w:rFonts w:ascii="Arial" w:cs="Arial" w:eastAsia="Arial" w:hAnsi="Arial"/>
          <w:sz w:val="22"/>
          <w:szCs w:val="22"/>
        </w:rPr>
        <w:t xml:space="preserve">Pre-specified, directional hypotheses (to be registered before data analysis):</w:t>
      </w:r>
    </w:p>
    <w:p>
      <w:pPr>
        <w:pStyle w:val="ListParagraph"/>
        <w:numPr>
          <w:ilvl w:val="0"/>
          <w:numId w:val="3"/>
        </w:numPr>
        <w:spacing w:after="100" w:line="300"/>
        <w:jc w:val="both"/>
      </w:pPr>
      <w:r>
        <w:rPr>
          <w:rFonts w:ascii="Arial" w:cs="Arial" w:eastAsia="Arial" w:hAnsi="Arial"/>
          <w:sz w:val="22"/>
          <w:szCs w:val="22"/>
        </w:rPr>
        <w:t xml:space="preserve">H1: Presence of a synchronized on-screen visual breathing guide is positively associated with engagement.</w:t>
      </w:r>
    </w:p>
    <w:p>
      <w:pPr>
        <w:pStyle w:val="ListParagraph"/>
        <w:numPr>
          <w:ilvl w:val="0"/>
          <w:numId w:val="3"/>
        </w:numPr>
        <w:spacing w:after="100" w:line="300"/>
        <w:jc w:val="both"/>
      </w:pPr>
      <w:r>
        <w:rPr>
          <w:rFonts w:ascii="Arial" w:cs="Arial" w:eastAsia="Arial" w:hAnsi="Arial"/>
          <w:sz w:val="22"/>
          <w:szCs w:val="22"/>
        </w:rPr>
        <w:t xml:space="preserve">H2: A higher silence-to-voice ratio is positively associated with engagement among relaxation/sleep-oriented techniques but not among instruction-heavy techniques.</w:t>
      </w:r>
    </w:p>
    <w:p>
      <w:pPr>
        <w:pStyle w:val="ListParagraph"/>
        <w:numPr>
          <w:ilvl w:val="0"/>
          <w:numId w:val="3"/>
        </w:numPr>
        <w:spacing w:after="100" w:line="300"/>
        <w:jc w:val="both"/>
      </w:pPr>
      <w:r>
        <w:rPr>
          <w:rFonts w:ascii="Arial" w:cs="Arial" w:eastAsia="Arial" w:hAnsi="Arial"/>
          <w:sz w:val="22"/>
          <w:szCs w:val="22"/>
        </w:rPr>
        <w:t xml:space="preserve">H3: The magnitude and direction of feature associations vary by technique (significant technique×feature interactions).</w:t>
      </w:r>
    </w:p>
    <w:p>
      <w:pPr>
        <w:pStyle w:val="Heading1"/>
      </w:pPr>
      <w:r>
        <w:rPr>
          <w:rFonts w:ascii="Arial" w:cs="Arial" w:eastAsia="Arial" w:hAnsi="Arial"/>
        </w:rPr>
        <w:t xml:space="preserve">Methods</w:t>
      </w:r>
    </w:p>
    <w:p>
      <w:pPr>
        <w:pStyle w:val="Heading2"/>
      </w:pPr>
      <w:r>
        <w:rPr>
          <w:rFonts w:ascii="Arial" w:cs="Arial" w:eastAsia="Arial" w:hAnsi="Arial"/>
        </w:rPr>
        <w:t xml:space="preserve">Study design and reporting</w:t>
      </w:r>
    </w:p>
    <w:p>
      <w:pPr>
        <w:spacing w:after="160" w:line="312"/>
        <w:jc w:val="both"/>
      </w:pPr>
      <w:r>
        <w:rPr>
          <w:rFonts w:ascii="Arial" w:cs="Arial" w:eastAsia="Arial" w:hAnsi="Arial"/>
          <w:sz w:val="22"/>
          <w:szCs w:val="22"/>
        </w:rPr>
        <w:t xml:space="preserve">This is a cross-sectional, retrospective infodemiology content analysis in which VLMs serve as the measurement instrument. There are no human participants and no clinician adjudication. Reporting will follow observational-study reporting principles (STROBE, adapted for content analysis) and infodemiology reporting practice, and the protocol and codebook will be preregistered on the Open Science Framework (OSF) before the analytic dataset is locked.</w:t>
      </w:r>
    </w:p>
    <w:p>
      <w:pPr>
        <w:pStyle w:val="Heading2"/>
      </w:pPr>
      <w:r>
        <w:rPr>
          <w:rFonts w:ascii="Arial" w:cs="Arial" w:eastAsia="Arial" w:hAnsi="Arial"/>
        </w:rPr>
        <w:t xml:space="preserve">Data source and search strategy</w:t>
      </w:r>
    </w:p>
    <w:p>
      <w:pPr>
        <w:spacing w:after="160" w:line="312"/>
        <w:jc w:val="both"/>
      </w:pPr>
      <w:r>
        <w:rPr>
          <w:rFonts w:ascii="Arial" w:cs="Arial" w:eastAsia="Arial" w:hAnsi="Arial"/>
          <w:sz w:val="22"/>
          <w:szCs w:val="22"/>
        </w:rPr>
        <w:t xml:space="preserve">Videos will be retrieved programmatically through the YouTube Data API v3. For each meditation technique we will define a set of seed queries (for example, “guided meditation,” “body scan meditation,” “loving-kindness meditation,” “breathing meditation,” “yoga nidra,” “visualization meditation,” “mindfulness meditation”). To limit volatility we will (1) fix the retrieval window to a single calendar period, (2) record the API ranking and all retrieved metadata, and (3) cap the number of results per query before deduplication. The primary analysis will use English-language queries; a parallel Korean-language set will be retrieved to enable an exploratory cross-language comparison. All query strings, retrieval dates, and quota usage will be reported to support reproducibility.</w:t>
      </w:r>
    </w:p>
    <w:p>
      <w:pPr>
        <w:pStyle w:val="Heading2"/>
      </w:pPr>
      <w:r>
        <w:rPr>
          <w:rFonts w:ascii="Arial" w:cs="Arial" w:eastAsia="Arial" w:hAnsi="Arial"/>
        </w:rPr>
        <w:t xml:space="preserve">Eligibility criteria</w:t>
      </w:r>
    </w:p>
    <w:p>
      <w:pPr>
        <w:spacing w:after="160" w:line="312"/>
        <w:jc w:val="both"/>
      </w:pPr>
      <w:r>
        <w:rPr>
          <w:rFonts w:ascii="Arial" w:cs="Arial" w:eastAsia="Arial" w:hAnsi="Arial"/>
          <w:sz w:val="22"/>
          <w:szCs w:val="22"/>
        </w:rPr>
        <w:t xml:space="preserve">Videos will be included if they are publicly available, present a guided meditation session (verbal or visual guidance through a practice), and have extractable audio or captions. Videos will be excluded if they are music- or soundscape-only with no guidance, are lectures or talks about meditation rather than a guided session, are live streams, are age-restricted, or fall outside a duration window of 2–60 minutes. Screening will be performed by a VLM classifier and verified on a random subsample by trained raters; disagreements will be adjudicated by a third rater and the rule refined before the full run.</w:t>
      </w:r>
    </w:p>
    <w:p>
      <w:pPr>
        <w:pStyle w:val="Heading2"/>
      </w:pPr>
      <w:r>
        <w:rPr>
          <w:rFonts w:ascii="Arial" w:cs="Arial" w:eastAsia="Arial" w:hAnsi="Arial"/>
        </w:rPr>
        <w:t xml:space="preserve">Sampling and sample size</w:t>
      </w:r>
    </w:p>
    <w:p>
      <w:pPr>
        <w:spacing w:after="160" w:line="312"/>
        <w:jc w:val="both"/>
      </w:pPr>
      <w:r>
        <w:rPr>
          <w:rFonts w:ascii="Arial" w:cs="Arial" w:eastAsia="Arial" w:hAnsi="Arial"/>
          <w:sz w:val="22"/>
          <w:szCs w:val="22"/>
        </w:rPr>
        <w:t xml:space="preserve">We target approximately 2000 eligible videos, distributed across techniques (roughly 250–350 per technique) to support technique-stratified models. This size is chosen pragmatically to provide stable estimates for multivariable count/ratio regression with roughly a dozen predictors plus interaction terms, to tolerate listwise exclusions (e.g., hidden like counts), and to detect small standardized associations with adequate power while leaving a held-out subsample for reliability analyses. A formal power/precision justification for the primary regression will be finalized at preregistration.</w:t>
      </w:r>
    </w:p>
    <w:p>
      <w:pPr>
        <w:pStyle w:val="Heading2"/>
      </w:pPr>
      <w:r>
        <w:rPr>
          <w:rFonts w:ascii="Arial" w:cs="Arial" w:eastAsia="Arial" w:hAnsi="Arial"/>
        </w:rPr>
        <w:t xml:space="preserve">Data extraction and VLM coding</w:t>
      </w:r>
    </w:p>
    <w:p>
      <w:pPr>
        <w:spacing w:after="160" w:line="312"/>
        <w:jc w:val="both"/>
      </w:pPr>
      <w:r>
        <w:rPr>
          <w:rFonts w:ascii="Arial" w:cs="Arial" w:eastAsia="Arial" w:hAnsi="Arial"/>
          <w:sz w:val="22"/>
          <w:szCs w:val="22"/>
        </w:rPr>
        <w:t xml:space="preserve">For each eligible video we will sample frames at a fixed rate (with denser sampling at the opening segment, where engagement is most strongly shaped) and obtain the transcript from captions or automatic speech recognition. Frames and transcript will be passed to the VLM with a structured prompt that returns a fixed JSON schema corresponding to the codebook. To support RQ4 and to avoid single-model dependence, every video will be coded independently by at least two contemporary VLMs; a third may be added for adjudication. Prompts, schema, model versions, and decoding settings (including temperature) will be version-controlled and reported.</w:t>
      </w:r>
    </w:p>
    <w:p>
      <w:pPr>
        <w:spacing w:after="160" w:line="312"/>
        <w:jc w:val="both"/>
      </w:pPr>
      <w:r>
        <w:rPr>
          <w:rFonts w:ascii="Arial" w:cs="Arial" w:eastAsia="Arial" w:hAnsi="Arial"/>
          <w:sz w:val="22"/>
          <w:szCs w:val="22"/>
        </w:rPr>
        <w:t xml:space="preserve">The variables are summarized in Table 1.</w:t>
      </w:r>
    </w:p>
    <w:p>
      <w:pPr>
        <w:spacing w:after="80" w:before="40"/>
      </w:pPr>
      <w:r>
        <w:rPr>
          <w:rFonts w:ascii="Arial" w:cs="Arial" w:eastAsia="Arial" w:hAnsi="Arial"/>
          <w:b/>
          <w:bCs/>
          <w:sz w:val="21"/>
          <w:szCs w:val="21"/>
        </w:rPr>
        <w:t xml:space="preserve">Table 1. Variables, definitions, and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line="264"/>
            </w:pPr>
            <w:r>
              <w:rPr>
                <w:rFonts w:ascii="Arial" w:cs="Arial" w:eastAsia="Arial" w:hAnsi="Arial"/>
                <w:b/>
                <w:bCs/>
                <w:sz w:val="19"/>
                <w:szCs w:val="19"/>
              </w:rPr>
              <w:t xml:space="preserve">Group</w:t>
            </w:r>
          </w:p>
        </w:tc>
        <w:tc>
          <w:tcPr>
            <w:tcW w:type="dxa" w:w="26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line="264"/>
            </w:pPr>
            <w:r>
              <w:rPr>
                <w:rFonts w:ascii="Arial" w:cs="Arial" w:eastAsia="Arial" w:hAnsi="Arial"/>
                <w:b/>
                <w:bCs/>
                <w:sz w:val="19"/>
                <w:szCs w:val="19"/>
              </w:rPr>
              <w:t xml:space="preserve">Variable</w:t>
            </w:r>
          </w:p>
        </w:tc>
        <w:tc>
          <w:tcPr>
            <w:tcW w:type="dxa" w:w="456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line="264"/>
            </w:pPr>
            <w:r>
              <w:rPr>
                <w:rFonts w:ascii="Arial" w:cs="Arial" w:eastAsia="Arial" w:hAnsi="Arial"/>
                <w:b/>
                <w:bCs/>
                <w:sz w:val="19"/>
                <w:szCs w:val="19"/>
              </w:rPr>
              <w:t xml:space="preserve">Operational definition / source</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b w:val="false"/>
                <w:bCs w:val="false"/>
                <w:sz w:val="19"/>
                <w:szCs w:val="19"/>
              </w:rPr>
              <w:t xml:space="preserve">Independent (VLM-coded)</w:t>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b w:val="false"/>
                <w:bCs w:val="false"/>
                <w:sz w:val="19"/>
                <w:szCs w:val="19"/>
              </w:rPr>
              <w:t xml:space="preserve">Meditation technique</w:t>
            </w:r>
          </w:p>
        </w:tc>
        <w:tc>
          <w:tcPr>
            <w:tcW w:type="dxa" w:w="4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b w:val="false"/>
                <w:bCs w:val="false"/>
                <w:sz w:val="19"/>
                <w:szCs w:val="19"/>
              </w:rPr>
              <w:t xml:space="preserve">One of: focused-attention/breath, body scan, loving-kindness, open-monitoring/mindfulness, visualization/imagery, yoga nidra/body-based relaxation, movement/walking; coded from frames + transcript against an a priori taxonomy.</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b w:val="false"/>
                <w:bCs w:val="false"/>
                <w:sz w:val="19"/>
                <w:szCs w:val="19"/>
              </w:rPr>
              <w:t xml:space="preserve"/>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b w:val="false"/>
                <w:bCs w:val="false"/>
                <w:sz w:val="19"/>
                <w:szCs w:val="19"/>
              </w:rPr>
              <w:t xml:space="preserve">Visual breathing guide</w:t>
            </w:r>
          </w:p>
        </w:tc>
        <w:tc>
          <w:tcPr>
            <w:tcW w:type="dxa" w:w="4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b w:val="false"/>
                <w:bCs w:val="false"/>
                <w:sz w:val="19"/>
                <w:szCs w:val="19"/>
              </w:rPr>
              <w:t xml:space="preserve">Presence (yes/no) of an on-screen animated breathing pacer; if present, breathing cadence (breaths/min) estimated from the animation.</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b w:val="false"/>
                <w:bCs w:val="false"/>
                <w:sz w:val="19"/>
                <w:szCs w:val="19"/>
              </w:rPr>
              <w:t xml:space="preserve"/>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b w:val="false"/>
                <w:bCs w:val="false"/>
                <w:sz w:val="19"/>
                <w:szCs w:val="19"/>
              </w:rPr>
              <w:t xml:space="preserve">Visual–verbal congruence</w:t>
            </w:r>
          </w:p>
        </w:tc>
        <w:tc>
          <w:tcPr>
            <w:tcW w:type="dxa" w:w="4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b w:val="false"/>
                <w:bCs w:val="false"/>
                <w:sz w:val="19"/>
                <w:szCs w:val="19"/>
              </w:rPr>
              <w:t xml:space="preserve">Agreement between the on-screen pacer cadence and the verbally cued breathing rate (concordant/discordant).</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b w:val="false"/>
                <w:bCs w:val="false"/>
                <w:sz w:val="19"/>
                <w:szCs w:val="19"/>
              </w:rPr>
              <w:t xml:space="preserve"/>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b w:val="false"/>
                <w:bCs w:val="false"/>
                <w:sz w:val="19"/>
                <w:szCs w:val="19"/>
              </w:rPr>
              <w:t xml:space="preserve">Presenter visibility</w:t>
            </w:r>
          </w:p>
        </w:tc>
        <w:tc>
          <w:tcPr>
            <w:tcW w:type="dxa" w:w="4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b w:val="false"/>
                <w:bCs w:val="false"/>
                <w:sz w:val="19"/>
                <w:szCs w:val="19"/>
              </w:rPr>
              <w:t xml:space="preserve">On-screen human presenter vs visuals-only/voice-over.</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b w:val="false"/>
                <w:bCs w:val="false"/>
                <w:sz w:val="19"/>
                <w:szCs w:val="19"/>
              </w:rPr>
              <w:t xml:space="preserve"/>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b w:val="false"/>
                <w:bCs w:val="false"/>
                <w:sz w:val="19"/>
                <w:szCs w:val="19"/>
              </w:rPr>
              <w:t xml:space="preserve">Setting / imagery</w:t>
            </w:r>
          </w:p>
        </w:tc>
        <w:tc>
          <w:tcPr>
            <w:tcW w:type="dxa" w:w="4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b w:val="false"/>
                <w:bCs w:val="false"/>
                <w:sz w:val="19"/>
                <w:szCs w:val="19"/>
              </w:rPr>
              <w:t xml:space="preserve">Studio, nature, abstract/animated, or text-only background; presence of nature imagery.</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b w:val="false"/>
                <w:bCs w:val="false"/>
                <w:sz w:val="19"/>
                <w:szCs w:val="19"/>
              </w:rPr>
              <w:t xml:space="preserve"/>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b w:val="false"/>
                <w:bCs w:val="false"/>
                <w:sz w:val="19"/>
                <w:szCs w:val="19"/>
              </w:rPr>
              <w:t xml:space="preserve">Posture / mudra shown</w:t>
            </w:r>
          </w:p>
        </w:tc>
        <w:tc>
          <w:tcPr>
            <w:tcW w:type="dxa" w:w="4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b w:val="false"/>
                <w:bCs w:val="false"/>
                <w:sz w:val="19"/>
                <w:szCs w:val="19"/>
              </w:rPr>
              <w:t xml:space="preserve">Whether a seated/lying posture or hand position is demonstrated.</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b w:val="false"/>
                <w:bCs w:val="false"/>
                <w:sz w:val="19"/>
                <w:szCs w:val="19"/>
              </w:rPr>
              <w:t xml:space="preserve"/>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b w:val="false"/>
                <w:bCs w:val="false"/>
                <w:sz w:val="19"/>
                <w:szCs w:val="19"/>
              </w:rPr>
              <w:t xml:space="preserve">Silence-to-voice ratio</w:t>
            </w:r>
          </w:p>
        </w:tc>
        <w:tc>
          <w:tcPr>
            <w:tcW w:type="dxa" w:w="4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b w:val="false"/>
                <w:bCs w:val="false"/>
                <w:sz w:val="19"/>
                <w:szCs w:val="19"/>
              </w:rPr>
              <w:t xml:space="preserve">Proportion of session without spoken guidance, derived from transcript timestamps.</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b w:val="false"/>
                <w:bCs w:val="false"/>
                <w:sz w:val="19"/>
                <w:szCs w:val="19"/>
              </w:rPr>
              <w:t xml:space="preserve"/>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b w:val="false"/>
                <w:bCs w:val="false"/>
                <w:sz w:val="19"/>
                <w:szCs w:val="19"/>
              </w:rPr>
              <w:t xml:space="preserve">Voice pacing</w:t>
            </w:r>
          </w:p>
        </w:tc>
        <w:tc>
          <w:tcPr>
            <w:tcW w:type="dxa" w:w="4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b w:val="false"/>
                <w:bCs w:val="false"/>
                <w:sz w:val="19"/>
                <w:szCs w:val="19"/>
              </w:rPr>
              <w:t xml:space="preserve">Speaking rate (words/min) from the transcript.</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b w:val="false"/>
                <w:bCs w:val="false"/>
                <w:sz w:val="19"/>
                <w:szCs w:val="19"/>
              </w:rPr>
              <w:t xml:space="preserve"/>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b w:val="false"/>
                <w:bCs w:val="false"/>
                <w:sz w:val="19"/>
                <w:szCs w:val="19"/>
              </w:rPr>
              <w:t xml:space="preserve">Background sound</w:t>
            </w:r>
          </w:p>
        </w:tc>
        <w:tc>
          <w:tcPr>
            <w:tcW w:type="dxa" w:w="4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b w:val="false"/>
                <w:bCs w:val="false"/>
                <w:sz w:val="19"/>
                <w:szCs w:val="19"/>
              </w:rPr>
              <w:t xml:space="preserve">None, ambient/nature, singing bowls, binaural/isochronic tones, or music.</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b w:val="false"/>
                <w:bCs w:val="false"/>
                <w:sz w:val="19"/>
                <w:szCs w:val="19"/>
              </w:rPr>
              <w:t xml:space="preserve"/>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b w:val="false"/>
                <w:bCs w:val="false"/>
                <w:sz w:val="19"/>
                <w:szCs w:val="19"/>
              </w:rPr>
              <w:t xml:space="preserve">On-screen text / captions</w:t>
            </w:r>
          </w:p>
        </w:tc>
        <w:tc>
          <w:tcPr>
            <w:tcW w:type="dxa" w:w="4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b w:val="false"/>
                <w:bCs w:val="false"/>
                <w:sz w:val="19"/>
                <w:szCs w:val="19"/>
              </w:rPr>
              <w:t xml:space="preserve">Presence of guiding text overlays and/or closed captions (accessibility).</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b w:val="false"/>
                <w:bCs w:val="false"/>
                <w:sz w:val="19"/>
                <w:szCs w:val="19"/>
              </w:rPr>
              <w:t xml:space="preserve"/>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b w:val="false"/>
                <w:bCs w:val="false"/>
                <w:sz w:val="19"/>
                <w:szCs w:val="19"/>
              </w:rPr>
              <w:t xml:space="preserve">Session length</w:t>
            </w:r>
          </w:p>
        </w:tc>
        <w:tc>
          <w:tcPr>
            <w:tcW w:type="dxa" w:w="4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b w:val="false"/>
                <w:bCs w:val="false"/>
                <w:sz w:val="19"/>
                <w:szCs w:val="19"/>
              </w:rPr>
              <w:t xml:space="preserve">Video duration (min), from metadata.</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b w:val="false"/>
                <w:bCs w:val="false"/>
                <w:sz w:val="19"/>
                <w:szCs w:val="19"/>
              </w:rPr>
              <w:t xml:space="preserve">Contextual (metadata)</w:t>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b w:val="false"/>
                <w:bCs w:val="false"/>
                <w:sz w:val="19"/>
                <w:szCs w:val="19"/>
              </w:rPr>
              <w:t xml:space="preserve">Channel type &amp; size</w:t>
            </w:r>
          </w:p>
        </w:tc>
        <w:tc>
          <w:tcPr>
            <w:tcW w:type="dxa" w:w="4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b w:val="false"/>
                <w:bCs w:val="false"/>
                <w:sz w:val="19"/>
                <w:szCs w:val="19"/>
              </w:rPr>
              <w:t xml:space="preserve">Individual vs organization; subscriber count (YouTube Data API).</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b w:val="false"/>
                <w:bCs w:val="false"/>
                <w:sz w:val="19"/>
                <w:szCs w:val="19"/>
              </w:rPr>
              <w:t xml:space="preserve"/>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b w:val="false"/>
                <w:bCs w:val="false"/>
                <w:sz w:val="19"/>
                <w:szCs w:val="19"/>
              </w:rPr>
              <w:t xml:space="preserve">Recency</w:t>
            </w:r>
          </w:p>
        </w:tc>
        <w:tc>
          <w:tcPr>
            <w:tcW w:type="dxa" w:w="4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b w:val="false"/>
                <w:bCs w:val="false"/>
                <w:sz w:val="19"/>
                <w:szCs w:val="19"/>
              </w:rPr>
              <w:t xml:space="preserve">Days since upload at extraction date.</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b w:val="false"/>
                <w:bCs w:val="false"/>
                <w:sz w:val="19"/>
                <w:szCs w:val="19"/>
              </w:rPr>
              <w:t xml:space="preserve">Dependent (engagement)</w:t>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b w:val="false"/>
                <w:bCs w:val="false"/>
                <w:sz w:val="19"/>
                <w:szCs w:val="19"/>
              </w:rPr>
              <w:t xml:space="preserve">Like rate</w:t>
            </w:r>
          </w:p>
        </w:tc>
        <w:tc>
          <w:tcPr>
            <w:tcW w:type="dxa" w:w="4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b w:val="false"/>
                <w:bCs w:val="false"/>
                <w:sz w:val="19"/>
                <w:szCs w:val="19"/>
              </w:rPr>
              <w:t xml:space="preserve">likeCount / viewCount (primary).</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b w:val="false"/>
                <w:bCs w:val="false"/>
                <w:sz w:val="19"/>
                <w:szCs w:val="19"/>
              </w:rPr>
              <w:t xml:space="preserve"/>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b w:val="false"/>
                <w:bCs w:val="false"/>
                <w:sz w:val="19"/>
                <w:szCs w:val="19"/>
              </w:rPr>
              <w:t xml:space="preserve">Comment rate</w:t>
            </w:r>
          </w:p>
        </w:tc>
        <w:tc>
          <w:tcPr>
            <w:tcW w:type="dxa" w:w="4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b w:val="false"/>
                <w:bCs w:val="false"/>
                <w:sz w:val="19"/>
                <w:szCs w:val="19"/>
              </w:rPr>
              <w:t xml:space="preserve">commentCount / viewCount (primary).</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b w:val="false"/>
                <w:bCs w:val="false"/>
                <w:sz w:val="19"/>
                <w:szCs w:val="19"/>
              </w:rPr>
              <w:t xml:space="preserve"/>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b w:val="false"/>
                <w:bCs w:val="false"/>
                <w:sz w:val="19"/>
                <w:szCs w:val="19"/>
              </w:rPr>
              <w:t xml:space="preserve">Video Power Index</w:t>
            </w:r>
          </w:p>
        </w:tc>
        <w:tc>
          <w:tcPr>
            <w:tcW w:type="dxa" w:w="4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b w:val="false"/>
                <w:bCs w:val="false"/>
                <w:sz w:val="19"/>
                <w:szCs w:val="19"/>
              </w:rPr>
              <w:t xml:space="preserve">Composite popularity index from views and likes (secondary).</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b w:val="false"/>
                <w:bCs w:val="false"/>
                <w:sz w:val="19"/>
                <w:szCs w:val="19"/>
              </w:rPr>
              <w:t xml:space="preserve"/>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b w:val="false"/>
                <w:bCs w:val="false"/>
                <w:sz w:val="19"/>
                <w:szCs w:val="19"/>
              </w:rPr>
              <w:t xml:space="preserve">Comment-derived completion / effect signal</w:t>
            </w:r>
          </w:p>
        </w:tc>
        <w:tc>
          <w:tcPr>
            <w:tcW w:type="dxa" w:w="4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4"/>
            </w:pPr>
            <w:r>
              <w:rPr>
                <w:rFonts w:ascii="Arial" w:cs="Arial" w:eastAsia="Arial" w:hAnsi="Arial"/>
                <w:b w:val="false"/>
                <w:bCs w:val="false"/>
                <w:sz w:val="19"/>
                <w:szCs w:val="19"/>
              </w:rPr>
              <w:t xml:space="preserve">Exploratory: LLM-coded viewer statements indicating completion or self-reported effect (e.g., calm, sleep) — treated as audience expression, not clinical outcome.</w:t>
            </w:r>
          </w:p>
        </w:tc>
      </w:tr>
    </w:tbl>
    <w:p>
      <w:pPr>
        <w:spacing w:after="160" w:before="60"/>
      </w:pPr>
      <w:r>
        <w:rPr>
          <w:rFonts w:ascii="Arial" w:cs="Arial" w:eastAsia="Arial" w:hAnsi="Arial"/>
          <w:i/>
          <w:iCs/>
          <w:sz w:val="19"/>
          <w:szCs w:val="19"/>
        </w:rPr>
        <w:t xml:space="preserve">Note: The YouTube Data API does not expose per-video watch time or audience-retention curves for third-party videos; therefore true completion/retention cannot be measured directly and is approached only through engagement ratios and an exploratory comment-derived signal.</w:t>
      </w:r>
    </w:p>
    <w:p>
      <w:pPr>
        <w:pStyle w:val="Heading2"/>
      </w:pPr>
      <w:r>
        <w:rPr>
          <w:rFonts w:ascii="Arial" w:cs="Arial" w:eastAsia="Arial" w:hAnsi="Arial"/>
        </w:rPr>
        <w:t xml:space="preserve">Reliability and validity (in place of clinician scoring)</w:t>
      </w:r>
    </w:p>
    <w:p>
      <w:pPr>
        <w:spacing w:after="160" w:line="312"/>
        <w:jc w:val="both"/>
      </w:pPr>
      <w:r>
        <w:rPr>
          <w:rFonts w:ascii="Arial" w:cs="Arial" w:eastAsia="Arial" w:hAnsi="Arial"/>
          <w:sz w:val="22"/>
          <w:szCs w:val="22"/>
        </w:rPr>
        <w:t xml:space="preserve">Because no clinical-quality judgment is made, validity is established through the reproducibility of automated coding:</w:t>
      </w:r>
    </w:p>
    <w:p>
      <w:pPr>
        <w:pStyle w:val="ListParagraph"/>
        <w:numPr>
          <w:ilvl w:val="0"/>
          <w:numId w:val="4"/>
        </w:numPr>
        <w:spacing w:after="100" w:line="300"/>
        <w:jc w:val="both"/>
      </w:pPr>
      <w:r>
        <w:rPr>
          <w:rFonts w:ascii="Arial" w:cs="Arial" w:eastAsia="Arial" w:hAnsi="Arial"/>
          <w:sz w:val="22"/>
          <w:szCs w:val="22"/>
        </w:rPr>
        <w:t xml:space="preserve">Inter-model agreement: each variable is coded by ≥2 VLMs; agreement is quantified with Krippendorff’s alpha (categorical/ordinal) or the intraclass correlation coefficient (continuous). Variables failing a preregistered agreement threshold are reported as low-reliability and excluded from confirmatory models.</w:t>
      </w:r>
    </w:p>
    <w:p>
      <w:pPr>
        <w:pStyle w:val="ListParagraph"/>
        <w:numPr>
          <w:ilvl w:val="0"/>
          <w:numId w:val="4"/>
        </w:numPr>
        <w:spacing w:after="100" w:line="300"/>
        <w:jc w:val="both"/>
      </w:pPr>
      <w:r>
        <w:rPr>
          <w:rFonts w:ascii="Arial" w:cs="Arial" w:eastAsia="Arial" w:hAnsi="Arial"/>
          <w:sz w:val="22"/>
          <w:szCs w:val="22"/>
        </w:rPr>
        <w:t xml:space="preserve">Test-retest consistency: a random subsample is re-coded by the same model under identical settings to quantify intra-model stability.</w:t>
      </w:r>
    </w:p>
    <w:p>
      <w:pPr>
        <w:pStyle w:val="ListParagraph"/>
        <w:numPr>
          <w:ilvl w:val="0"/>
          <w:numId w:val="4"/>
        </w:numPr>
        <w:spacing w:after="100" w:line="300"/>
        <w:jc w:val="both"/>
      </w:pPr>
      <w:r>
        <w:rPr>
          <w:rFonts w:ascii="Arial" w:cs="Arial" w:eastAsia="Arial" w:hAnsi="Arial"/>
          <w:sz w:val="22"/>
          <w:szCs w:val="22"/>
        </w:rPr>
        <w:t xml:space="preserve">Prompt-sensitivity analysis: key variables are re-extracted under alternative prompt phrasings to assess robustness.</w:t>
      </w:r>
    </w:p>
    <w:p>
      <w:pPr>
        <w:pStyle w:val="ListParagraph"/>
        <w:numPr>
          <w:ilvl w:val="0"/>
          <w:numId w:val="4"/>
        </w:numPr>
        <w:spacing w:after="100" w:line="300"/>
        <w:jc w:val="both"/>
      </w:pPr>
      <w:r>
        <w:rPr>
          <w:rFonts w:ascii="Arial" w:cs="Arial" w:eastAsia="Arial" w:hAnsi="Arial"/>
          <w:sz w:val="22"/>
          <w:szCs w:val="22"/>
        </w:rPr>
        <w:t xml:space="preserve">Human verification subsample: two trained non-expert raters independently code an objectively codable random subsample (e.g., 150 videos) using the same codebook; VLM–human agreement is reported. Because the codes are descriptive (e.g., presence of a breathing animation, posture shown) rather than clinical, specialist raters are not required.</w:t>
      </w:r>
    </w:p>
    <w:p>
      <w:pPr>
        <w:pStyle w:val="ListParagraph"/>
        <w:numPr>
          <w:ilvl w:val="0"/>
          <w:numId w:val="4"/>
        </w:numPr>
        <w:spacing w:after="100" w:line="300"/>
        <w:jc w:val="both"/>
      </w:pPr>
      <w:r>
        <w:rPr>
          <w:rFonts w:ascii="Arial" w:cs="Arial" w:eastAsia="Arial" w:hAnsi="Arial"/>
          <w:sz w:val="22"/>
          <w:szCs w:val="22"/>
        </w:rPr>
        <w:t xml:space="preserve">Scope statement: associations describe engagement only; the study does not assess, and must not be interpreted as assessing, the clinical correctness, effectiveness, or safety of any meditation video.</w:t>
      </w:r>
    </w:p>
    <w:p>
      <w:pPr>
        <w:pStyle w:val="Heading2"/>
      </w:pPr>
      <w:r>
        <w:rPr>
          <w:rFonts w:ascii="Arial" w:cs="Arial" w:eastAsia="Arial" w:hAnsi="Arial"/>
        </w:rPr>
        <w:t xml:space="preserve">Statistical analysis</w:t>
      </w:r>
    </w:p>
    <w:p>
      <w:pPr>
        <w:spacing w:after="160" w:line="312"/>
        <w:jc w:val="both"/>
      </w:pPr>
      <w:r>
        <w:rPr>
          <w:rFonts w:ascii="Arial" w:cs="Arial" w:eastAsia="Arial" w:hAnsi="Arial"/>
          <w:sz w:val="22"/>
          <w:szCs w:val="22"/>
        </w:rPr>
        <w:t xml:space="preserve">RQ1 will be addressed descriptively (distributions of techniques and features, with uncertainty intervals). For RQ2, engagement ratios will be modeled with generalized linear models appropriate to their distribution (e.g., beta or fractional-logit for rates; negative binomial for counts with an offset for views), including session length, channel size, channel type, and recency as covariates and a channel-level random effect to account for clustering and channel popularity. For RQ3, technique×feature interaction terms will test moderation, with technique-stratified estimates reported. We will control the false discovery rate across the feature set, report standardized effect sizes with confidence intervals rather than relying on thresholds, and pre-specify sensitivity analyses (alternative outcome definitions, exclusion of outliers and very new uploads, and restriction to high-reliability variables). Handling of missing data (notably hidden like counts) and analysis software will be specified at preregistration.</w:t>
      </w:r>
    </w:p>
    <w:p>
      <w:pPr>
        <w:pStyle w:val="Heading2"/>
      </w:pPr>
      <w:r>
        <w:rPr>
          <w:rFonts w:ascii="Arial" w:cs="Arial" w:eastAsia="Arial" w:hAnsi="Arial"/>
        </w:rPr>
        <w:t xml:space="preserve">Ethics and data governance</w:t>
      </w:r>
    </w:p>
    <w:p>
      <w:pPr>
        <w:spacing w:after="160" w:line="312"/>
        <w:jc w:val="both"/>
      </w:pPr>
      <w:r>
        <w:rPr>
          <w:rFonts w:ascii="Arial" w:cs="Arial" w:eastAsia="Arial" w:hAnsi="Arial"/>
          <w:sz w:val="22"/>
          <w:szCs w:val="22"/>
        </w:rPr>
        <w:t xml:space="preserve">The study uses publicly available platform data with no human participants and no personally identifiable information; we will seek a determination of exemption from the institutional review board. Data collection will comply with the YouTube API Services Terms of Service and developer policies. Original video or audio will not be redistributed; the shared research dataset will consist only of video identifiers and derived feature codes. Comment-derived analyses will report aggregate patterns and will not quote or identify individual users.</w:t>
      </w:r>
    </w:p>
    <w:p>
      <w:pPr>
        <w:pStyle w:val="Heading1"/>
      </w:pPr>
      <w:r>
        <w:rPr>
          <w:rFonts w:ascii="Arial" w:cs="Arial" w:eastAsia="Arial" w:hAnsi="Arial"/>
        </w:rPr>
        <w:t xml:space="preserve">Expected Results</w:t>
      </w:r>
    </w:p>
    <w:p>
      <w:pPr>
        <w:spacing w:after="160" w:line="312"/>
        <w:jc w:val="both"/>
      </w:pPr>
      <w:r>
        <w:rPr>
          <w:rFonts w:ascii="Arial" w:cs="Arial" w:eastAsia="Arial" w:hAnsi="Arial"/>
          <w:sz w:val="22"/>
          <w:szCs w:val="22"/>
        </w:rPr>
        <w:t xml:space="preserve">We expect to describe a meditation-video landscape in which a minority of features (such as synchronized visual breathing guides, clear posture demonstration, and calibrated silence) account for a meaningful share of variation in engagement, and in which these relationships differ systematically by technique. Reliability analyses are expected to show high agreement for concrete visual and structural codes and lower agreement for more interpretive attributes, which will define the set of variables carried into confirmatory models. Recruitment of videos, coding, and analysis are planned across approximately nine months from registration: protocol registration and codebook finalization (months 1–2), retrieval and screening (months 3–4), VLM coding and reliability (months 5–6), analysis (months 7–8), and writing (month 9).</w:t>
      </w:r>
    </w:p>
    <w:p>
      <w:pPr>
        <w:pStyle w:val="Heading1"/>
      </w:pPr>
      <w:r>
        <w:rPr>
          <w:rFonts w:ascii="Arial" w:cs="Arial" w:eastAsia="Arial" w:hAnsi="Arial"/>
        </w:rPr>
        <w:t xml:space="preserve">Discussion</w:t>
      </w:r>
    </w:p>
    <w:p>
      <w:pPr>
        <w:pStyle w:val="Heading2"/>
      </w:pPr>
      <w:r>
        <w:rPr>
          <w:rFonts w:ascii="Arial" w:cs="Arial" w:eastAsia="Arial" w:hAnsi="Arial"/>
        </w:rPr>
        <w:t xml:space="preserve">Anticipated principal findings and contribution</w:t>
      </w:r>
    </w:p>
    <w:p>
      <w:pPr>
        <w:spacing w:after="160" w:line="312"/>
        <w:jc w:val="both"/>
      </w:pPr>
      <w:r>
        <w:rPr>
          <w:rFonts w:ascii="Arial" w:cs="Arial" w:eastAsia="Arial" w:hAnsi="Arial"/>
          <w:sz w:val="22"/>
          <w:szCs w:val="22"/>
        </w:rPr>
        <w:t xml:space="preserve">To our knowledge this is the first protocol to use VLMs to characterize guided meditation videos by technique and by meditation-specific audiovisual features and to relate them to viewer engagement. The contribution is deliberately positioned as a domain application rather than a methods advance. Engagement prediction from multimodal features, including with VLMs and large multimodal models, already exists for general short-form and edutainment content, and visual/auditory features have been linked to engagement for general health short-form videos using classical extraction. This protocol differs on three axes that the prior work does not cover: the behavioral self-management domain of meditation; explicit stratification by meditation technique; and a feature set defined by properties unique to meditation videos (visual breathing pacers and their congruence with spoken cues, silence-to-voice structure, posture demonstration, and background-sound type), analyzed in full-length sessions rather than short clips.</w:t>
      </w:r>
    </w:p>
    <w:p>
      <w:pPr>
        <w:pStyle w:val="Heading2"/>
      </w:pPr>
      <w:r>
        <w:rPr>
          <w:rFonts w:ascii="Arial" w:cs="Arial" w:eastAsia="Arial" w:hAnsi="Arial"/>
        </w:rPr>
        <w:t xml:space="preserve">Comparison with prior work</w:t>
      </w:r>
    </w:p>
    <w:p>
      <w:pPr>
        <w:spacing w:after="160" w:line="312"/>
        <w:jc w:val="both"/>
      </w:pPr>
      <w:r>
        <w:rPr>
          <w:rFonts w:ascii="Arial" w:cs="Arial" w:eastAsia="Arial" w:hAnsi="Arial"/>
          <w:sz w:val="22"/>
          <w:szCs w:val="22"/>
        </w:rPr>
        <w:t xml:space="preserve">Relative to manual content-analysis studies, the approach scales to thousands of videos and produces reproducible, auditable codes. Relative to existing VLM engagement studies, it grounds the analysis in a clinically meaningful behavior and asks technique-specific questions. Relative to the meditation taxonomy literature, it examines what is actually circulating to the public rather than what is described in texts. We will cite and explicitly differentiate from the closest prior study of health short-form video engagement and from recent VLM/large-multimodal-model engagement frameworks, and we will obtain and compare the closest study’s feature list against ours during manuscript preparation to delineate non-overlap.</w:t>
      </w:r>
    </w:p>
    <w:p>
      <w:pPr>
        <w:pStyle w:val="Heading2"/>
      </w:pPr>
      <w:r>
        <w:rPr>
          <w:rFonts w:ascii="Arial" w:cs="Arial" w:eastAsia="Arial" w:hAnsi="Arial"/>
        </w:rPr>
        <w:t xml:space="preserve">Strengths and limitations</w:t>
      </w:r>
    </w:p>
    <w:p>
      <w:pPr>
        <w:pStyle w:val="ListParagraph"/>
        <w:numPr>
          <w:ilvl w:val="0"/>
          <w:numId w:val="4"/>
        </w:numPr>
        <w:spacing w:after="100" w:line="300"/>
        <w:jc w:val="both"/>
      </w:pPr>
      <w:r>
        <w:rPr>
          <w:rFonts w:ascii="Arial" w:cs="Arial" w:eastAsia="Arial" w:hAnsi="Arial"/>
          <w:sz w:val="22"/>
          <w:szCs w:val="22"/>
        </w:rPr>
        <w:t xml:space="preserve">Strength: a clinician-free validity model (inter-model, test-retest, prompt-sensitivity, and non-expert human checks) that is reproducible and preregistered.</w:t>
      </w:r>
    </w:p>
    <w:p>
      <w:pPr>
        <w:pStyle w:val="ListParagraph"/>
        <w:numPr>
          <w:ilvl w:val="0"/>
          <w:numId w:val="4"/>
        </w:numPr>
        <w:spacing w:after="100" w:line="300"/>
        <w:jc w:val="both"/>
      </w:pPr>
      <w:r>
        <w:rPr>
          <w:rFonts w:ascii="Arial" w:cs="Arial" w:eastAsia="Arial" w:hAnsi="Arial"/>
          <w:sz w:val="22"/>
          <w:szCs w:val="22"/>
        </w:rPr>
        <w:t xml:space="preserve">Limitation: engagement is not clinical benefit; high engagement may reflect production polish or algorithmic promotion rather than usefulness.</w:t>
      </w:r>
    </w:p>
    <w:p>
      <w:pPr>
        <w:pStyle w:val="ListParagraph"/>
        <w:numPr>
          <w:ilvl w:val="0"/>
          <w:numId w:val="4"/>
        </w:numPr>
        <w:spacing w:after="100" w:line="300"/>
        <w:jc w:val="both"/>
      </w:pPr>
      <w:r>
        <w:rPr>
          <w:rFonts w:ascii="Arial" w:cs="Arial" w:eastAsia="Arial" w:hAnsi="Arial"/>
          <w:sz w:val="22"/>
          <w:szCs w:val="22"/>
        </w:rPr>
        <w:t xml:space="preserve">Limitation: the YouTube Data API does not provide watch-time or retention for third-party videos, so true completion is only approximated.</w:t>
      </w:r>
    </w:p>
    <w:p>
      <w:pPr>
        <w:pStyle w:val="ListParagraph"/>
        <w:numPr>
          <w:ilvl w:val="0"/>
          <w:numId w:val="4"/>
        </w:numPr>
        <w:spacing w:after="100" w:line="300"/>
        <w:jc w:val="both"/>
      </w:pPr>
      <w:r>
        <w:rPr>
          <w:rFonts w:ascii="Arial" w:cs="Arial" w:eastAsia="Arial" w:hAnsi="Arial"/>
          <w:sz w:val="22"/>
          <w:szCs w:val="22"/>
        </w:rPr>
        <w:t xml:space="preserve">Limitation: popularity-based sampling, platform-algorithm confounding, English-dominant retrieval, cross-sectional design, and the potential for VLM hallucination, which the reliability framework is designed to surface and bound.</w:t>
      </w:r>
    </w:p>
    <w:p>
      <w:pPr>
        <w:pStyle w:val="Heading2"/>
      </w:pPr>
      <w:r>
        <w:rPr>
          <w:rFonts w:ascii="Arial" w:cs="Arial" w:eastAsia="Arial" w:hAnsi="Arial"/>
        </w:rPr>
        <w:t xml:space="preserve">Future directions</w:t>
      </w:r>
    </w:p>
    <w:p>
      <w:pPr>
        <w:spacing w:after="160" w:line="312"/>
        <w:jc w:val="both"/>
      </w:pPr>
      <w:r>
        <w:rPr>
          <w:rFonts w:ascii="Arial" w:cs="Arial" w:eastAsia="Arial" w:hAnsi="Arial"/>
          <w:sz w:val="22"/>
          <w:szCs w:val="22"/>
        </w:rPr>
        <w:t xml:space="preserve">Natural extensions include cross-platform and cross-language replication, longitudinal tracking of how features and engagement co-evolve, and a complementary study that jointly analyzes video content and viewer comments to map self-reported effects and adverse experiences (for example, anxiety or dissociation) as audience-expressed signals rather than clinical outcomes.</w:t>
      </w:r>
    </w:p>
    <w:p>
      <w:pPr>
        <w:pStyle w:val="Heading1"/>
      </w:pPr>
      <w:r>
        <w:rPr>
          <w:rFonts w:ascii="Arial" w:cs="Arial" w:eastAsia="Arial" w:hAnsi="Arial"/>
        </w:rPr>
        <w:t xml:space="preserve">Conclusions</w:t>
      </w:r>
    </w:p>
    <w:p>
      <w:pPr>
        <w:spacing w:after="160" w:line="312"/>
        <w:jc w:val="both"/>
      </w:pPr>
      <w:r>
        <w:rPr>
          <w:rFonts w:ascii="Arial" w:cs="Arial" w:eastAsia="Arial" w:hAnsi="Arial"/>
          <w:sz w:val="22"/>
          <w:szCs w:val="22"/>
        </w:rPr>
        <w:t xml:space="preserve">This protocol sets out a scalable, interpretable, and clinician-free method for characterizing guided meditation videos and the audiovisual features associated with viewer engagement, stratified by technique. By grounding validity in reproducible automated coding and by restricting claims to engagement rather than clinical benefit, the design fits the infodemiology evidence base and can inform content creators, platforms, and digital-health communicators about how meditation self-management content reaches and holds its audience.</w:t>
      </w:r>
    </w:p>
    <w:p>
      <w:pPr>
        <w:pStyle w:val="Heading1"/>
      </w:pPr>
      <w:r>
        <w:rPr>
          <w:rFonts w:ascii="Arial" w:cs="Arial" w:eastAsia="Arial" w:hAnsi="Arial"/>
        </w:rPr>
        <w:t xml:space="preserve">References</w:t>
      </w:r>
    </w:p>
    <w:p>
      <w:pPr>
        <w:spacing w:after="100" w:line="288"/>
        <w:ind w:left="360" w:hanging="360"/>
      </w:pPr>
      <w:r>
        <w:rPr>
          <w:rFonts w:ascii="Arial" w:cs="Arial" w:eastAsia="Arial" w:hAnsi="Arial"/>
          <w:sz w:val="20"/>
          <w:szCs w:val="20"/>
        </w:rPr>
        <w:t xml:space="preserve">1. </w:t>
      </w:r>
      <w:r>
        <w:rPr>
          <w:rFonts w:ascii="Arial" w:cs="Arial" w:eastAsia="Arial" w:hAnsi="Arial"/>
          <w:sz w:val="20"/>
          <w:szCs w:val="20"/>
        </w:rPr>
        <w:t xml:space="preserve">Xiao L, Sun L, Lei Z, Fu B. How do features in health short-form videos impact viewer engagement: an empirical study. Industrial Management &amp; Data Systems. 2025. doi:10.1108/IMDS-04-2024-0385</w:t>
      </w:r>
    </w:p>
    <w:p>
      <w:pPr>
        <w:spacing w:after="100" w:line="288"/>
        <w:ind w:left="360" w:hanging="360"/>
      </w:pPr>
      <w:r>
        <w:rPr>
          <w:rFonts w:ascii="Arial" w:cs="Arial" w:eastAsia="Arial" w:hAnsi="Arial"/>
          <w:sz w:val="20"/>
          <w:szCs w:val="20"/>
        </w:rPr>
        <w:t xml:space="preserve">2. </w:t>
      </w:r>
      <w:r>
        <w:rPr>
          <w:rFonts w:ascii="Arial" w:cs="Arial" w:eastAsia="Arial" w:hAnsi="Arial"/>
          <w:sz w:val="20"/>
          <w:szCs w:val="20"/>
        </w:rPr>
        <w:t xml:space="preserve">Gupta A, et al. Understanding virality: a rubric-based vision-language model framework for short-form edutainment evaluation. arXiv:2512.21402. 2025.</w:t>
      </w:r>
    </w:p>
    <w:p>
      <w:pPr>
        <w:spacing w:after="100" w:line="288"/>
        <w:ind w:left="360" w:hanging="360"/>
      </w:pPr>
      <w:r>
        <w:rPr>
          <w:rFonts w:ascii="Arial" w:cs="Arial" w:eastAsia="Arial" w:hAnsi="Arial"/>
          <w:sz w:val="20"/>
          <w:szCs w:val="20"/>
        </w:rPr>
        <w:t xml:space="preserve">3. </w:t>
      </w:r>
      <w:r>
        <w:rPr>
          <w:rFonts w:ascii="Arial" w:cs="Arial" w:eastAsia="Arial" w:hAnsi="Arial"/>
          <w:sz w:val="20"/>
          <w:szCs w:val="20"/>
        </w:rPr>
        <w:t xml:space="preserve">Engagement prediction of short videos with large multimodal models. arXiv:2508.02516. 2025.</w:t>
      </w:r>
    </w:p>
    <w:p>
      <w:pPr>
        <w:spacing w:after="100" w:line="288"/>
        <w:ind w:left="360" w:hanging="360"/>
      </w:pPr>
      <w:r>
        <w:rPr>
          <w:rFonts w:ascii="Arial" w:cs="Arial" w:eastAsia="Arial" w:hAnsi="Arial"/>
          <w:sz w:val="20"/>
          <w:szCs w:val="20"/>
        </w:rPr>
        <w:t xml:space="preserve">4. </w:t>
      </w:r>
      <w:r>
        <w:rPr>
          <w:rFonts w:ascii="Arial" w:cs="Arial" w:eastAsia="Arial" w:hAnsi="Arial"/>
          <w:sz w:val="20"/>
          <w:szCs w:val="20"/>
        </w:rPr>
        <w:t xml:space="preserve">Promoting health literacy with human-in-the-loop video understandability classification of YouTube videos: development and evaluation study. J Med Internet Res. 2025;27:e56080. doi:10.2196/56080</w:t>
      </w:r>
    </w:p>
    <w:p>
      <w:pPr>
        <w:spacing w:after="100" w:line="288"/>
        <w:ind w:left="360" w:hanging="360"/>
      </w:pPr>
      <w:r>
        <w:rPr>
          <w:rFonts w:ascii="Arial" w:cs="Arial" w:eastAsia="Arial" w:hAnsi="Arial"/>
          <w:sz w:val="20"/>
          <w:szCs w:val="20"/>
        </w:rPr>
        <w:t xml:space="preserve">5. </w:t>
      </w:r>
      <w:r>
        <w:rPr>
          <w:rFonts w:ascii="Arial" w:cs="Arial" w:eastAsia="Arial" w:hAnsi="Arial"/>
          <w:sz w:val="20"/>
          <w:szCs w:val="20"/>
        </w:rPr>
        <w:t xml:space="preserve">A unifying framework of meditation techniques. Mindfulness. 2026. doi:10.1007/s12671-026-02758-1</w:t>
      </w:r>
    </w:p>
    <w:p>
      <w:pPr>
        <w:spacing w:after="100" w:line="288"/>
        <w:ind w:left="360" w:hanging="360"/>
      </w:pPr>
      <w:r>
        <w:rPr>
          <w:rFonts w:ascii="Arial" w:cs="Arial" w:eastAsia="Arial" w:hAnsi="Arial"/>
          <w:sz w:val="20"/>
          <w:szCs w:val="20"/>
        </w:rPr>
        <w:t xml:space="preserve">6. </w:t>
      </w:r>
      <w:r>
        <w:rPr>
          <w:rFonts w:ascii="Arial" w:cs="Arial" w:eastAsia="Arial" w:hAnsi="Arial"/>
          <w:sz w:val="20"/>
          <w:szCs w:val="20"/>
        </w:rPr>
        <w:t xml:space="preserve">Liu J, Su Y, Seth P. Can large language models grasp abstract visual concepts in videos? A case study on YouTube Shorts about depression. In: Extended Abstracts of the CHI Conference on Human Factors in Computing Systems. 2025. doi:10.1145/3706599.3719821</w:t>
      </w:r>
    </w:p>
    <w:p>
      <w:pPr>
        <w:spacing w:after="100" w:line="288"/>
        <w:ind w:left="360" w:hanging="360"/>
      </w:pPr>
      <w:r>
        <w:rPr>
          <w:rFonts w:ascii="Arial" w:cs="Arial" w:eastAsia="Arial" w:hAnsi="Arial"/>
          <w:sz w:val="20"/>
          <w:szCs w:val="20"/>
        </w:rPr>
        <w:t xml:space="preserve">7. </w:t>
      </w:r>
      <w:r>
        <w:rPr>
          <w:rFonts w:ascii="Arial" w:cs="Arial" w:eastAsia="Arial" w:hAnsi="Arial"/>
          <w:sz w:val="20"/>
          <w:szCs w:val="20"/>
        </w:rPr>
        <w:t xml:space="preserve">Using large language models to assist video content analysis: an exploratory study of short videos on depression. arXiv:2406.19528. 2024.</w:t>
      </w:r>
    </w:p>
    <w:p>
      <w:pPr>
        <w:spacing w:after="100" w:line="288"/>
        <w:ind w:left="360" w:hanging="360"/>
      </w:pPr>
      <w:r>
        <w:rPr>
          <w:rFonts w:ascii="Arial" w:cs="Arial" w:eastAsia="Arial" w:hAnsi="Arial"/>
          <w:sz w:val="20"/>
          <w:szCs w:val="20"/>
        </w:rPr>
        <w:t xml:space="preserve">8. </w:t>
      </w:r>
      <w:r>
        <w:rPr>
          <w:rFonts w:ascii="Arial" w:cs="Arial" w:eastAsia="Arial" w:hAnsi="Arial"/>
          <w:sz w:val="20"/>
          <w:szCs w:val="20"/>
        </w:rPr>
        <w:t xml:space="preserve">An estimation of online video user engagement from features of time- and value-continuous, dimensional emotions. Front Comput Sci. 2022;4:773154. doi:10.3389/fcomp.2022.773154</w:t>
      </w:r>
    </w:p>
    <w:p>
      <w:pPr>
        <w:spacing w:after="100" w:line="288"/>
        <w:ind w:left="360" w:hanging="360"/>
      </w:pPr>
      <w:r>
        <w:rPr>
          <w:rFonts w:ascii="Arial" w:cs="Arial" w:eastAsia="Arial" w:hAnsi="Arial"/>
          <w:sz w:val="20"/>
          <w:szCs w:val="20"/>
        </w:rPr>
        <w:t xml:space="preserve">9. </w:t>
      </w:r>
      <w:r>
        <w:rPr>
          <w:rFonts w:ascii="Arial" w:cs="Arial" w:eastAsia="Arial" w:hAnsi="Arial"/>
          <w:sz w:val="20"/>
          <w:szCs w:val="20"/>
        </w:rPr>
        <w:t xml:space="preserve">Assessment of reliability and validity of celiac disease-related YouTube videos: content analysis. JMIR Infodemiology. 2025;5:e58615. doi:10.2196/58615</w:t>
      </w:r>
    </w:p>
    <w:p>
      <w:pPr>
        <w:spacing w:after="100" w:line="288"/>
        <w:ind w:left="360" w:hanging="360"/>
      </w:pPr>
      <w:r>
        <w:rPr>
          <w:rFonts w:ascii="Arial" w:cs="Arial" w:eastAsia="Arial" w:hAnsi="Arial"/>
          <w:sz w:val="20"/>
          <w:szCs w:val="20"/>
        </w:rPr>
        <w:t xml:space="preserve">10. </w:t>
      </w:r>
      <w:r>
        <w:rPr>
          <w:rFonts w:ascii="Arial" w:cs="Arial" w:eastAsia="Arial" w:hAnsi="Arial"/>
          <w:sz w:val="20"/>
          <w:szCs w:val="20"/>
        </w:rPr>
        <w:t xml:space="preserve">von Elm E, Altman DG, Egger M, Pocock SJ, Gøtzsche PC, Vandenbroucke JP; STROBE Initiative. The Strengthening the Reporting of Observational Studies in Epidemiology (STROBE) statement. Lancet. 2007;370(9596):1453-1457.</w:t>
      </w:r>
    </w:p>
    <w:p>
      <w:pPr>
        <w:spacing w:after="100" w:line="288"/>
        <w:ind w:left="360" w:hanging="360"/>
      </w:pPr>
      <w:r>
        <w:rPr>
          <w:rFonts w:ascii="Arial" w:cs="Arial" w:eastAsia="Arial" w:hAnsi="Arial"/>
          <w:sz w:val="20"/>
          <w:szCs w:val="20"/>
        </w:rPr>
        <w:t xml:space="preserve">11. </w:t>
      </w:r>
      <w:r>
        <w:rPr>
          <w:rFonts w:ascii="Arial" w:cs="Arial" w:eastAsia="Arial" w:hAnsi="Arial"/>
          <w:sz w:val="20"/>
          <w:szCs w:val="20"/>
        </w:rPr>
        <w:t xml:space="preserve">Krippendorff K. Content Analysis: An Introduction to Its Methodology. 4th ed. Thousand Oaks, CA: SAGE; 2018.</w:t>
      </w:r>
    </w:p>
    <w:p>
      <w:pPr>
        <w:spacing w:after="100" w:line="288"/>
        <w:ind w:left="360" w:hanging="360"/>
      </w:pPr>
      <w:r>
        <w:rPr>
          <w:rFonts w:ascii="Arial" w:cs="Arial" w:eastAsia="Arial" w:hAnsi="Arial"/>
          <w:sz w:val="20"/>
          <w:szCs w:val="20"/>
        </w:rPr>
        <w:t xml:space="preserve">12. </w:t>
      </w:r>
      <w:r>
        <w:rPr>
          <w:rFonts w:ascii="Arial" w:cs="Arial" w:eastAsia="Arial" w:hAnsi="Arial"/>
          <w:sz w:val="20"/>
          <w:szCs w:val="20"/>
        </w:rPr>
        <w:t xml:space="preserve">YouTube. YouTube Data API v3 reference and YouTube API Services Terms of Service. Google Developers. [Accessed at protocol registration].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VLM Analysis of Meditation Videos — Study Protocol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2026-06-14T03:28:25.064Z</dcterms:created>
  <dcterms:modified xsi:type="dcterms:W3CDTF">2026-06-14T03:28:25.064Z</dcterms:modified>
</cp:coreProperties>
</file>

<file path=docProps/custom.xml><?xml version="1.0" encoding="utf-8"?>
<Properties xmlns="http://schemas.openxmlformats.org/officeDocument/2006/custom-properties" xmlns:vt="http://schemas.openxmlformats.org/officeDocument/2006/docPropsVTypes"/>
</file>