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w:t>
            </w:r>
            <w:r w:rsidR="003E1FF8">
              <w:rPr>
                <w:rFonts w:cstheme="minorHAnsi"/>
                <w:color w:val="000000" w:themeColor="text1"/>
                <w:sz w:val="22"/>
                <w:szCs w:val="22"/>
              </w:rPr>
              <w:t xml:space="preserve"> 2022</w:t>
            </w:r>
            <w:r w:rsidRPr="00194604">
              <w:rPr>
                <w:rFonts w:cstheme="minorHAnsi"/>
                <w:color w:val="000000" w:themeColor="text1"/>
                <w:sz w:val="22"/>
                <w:szCs w:val="22"/>
              </w:rPr>
              <w:t xml:space="preserve">: </w:t>
            </w:r>
            <w:r w:rsidR="003E1FF8">
              <w:rPr>
                <w:rFonts w:cstheme="minorHAnsi"/>
                <w:noProof/>
                <w:color w:val="000000" w:themeColor="text1"/>
                <w:sz w:val="22"/>
                <w:szCs w:val="22"/>
              </w:rPr>
              <w:t xml:space="preserve">Astrid Berthelette</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 xml:space="preserve"/>
      </w:r>
      <w:r>
        <w:drawing>
          <wp:inline xmlns:a="http://schemas.openxmlformats.org/drawingml/2006/main" xmlns:pic="http://schemas.openxmlformats.org/drawingml/2006/picture">
            <wp:extent cx="3600000" cy="2400000"/>
            <wp:docPr id="1001" name="Picture 1"/>
            <wp:cNvGraphicFramePr>
              <a:graphicFrameLocks noChangeAspect="1"/>
            </wp:cNvGraphicFramePr>
            <a:graphic>
              <a:graphicData uri="http://schemas.openxmlformats.org/drawingml/2006/picture">
                <pic:pic>
                  <pic:nvPicPr>
                    <pic:cNvPr id="0" name="temp.jpeg"/>
                    <pic:cNvPicPr/>
                  </pic:nvPicPr>
                  <pic:blipFill>
                    <a:blip r:embed="rId16"/>
                    <a:stretch>
                      <a:fillRect/>
                    </a:stretch>
                  </pic:blipFill>
                  <pic:spPr>
                    <a:xfrm>
                      <a:off x="0" y="0"/>
                      <a:ext cx="3600000" cy="2400000"/>
                    </a:xfrm>
                    <a:prstGeom prst="rect"/>
                  </pic:spPr>
                </pic:pic>
              </a:graphicData>
            </a:graphic>
          </wp:inline>
        </w:drawing>
      </w:r>
      <w:r>
        <w:t xml:space="preserve"/>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 xml:space="preserve">2022</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 xml:space="preserve">147,338</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120,000</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12,000</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 xml:space="preserve">12,000</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 xml:space="preserve">3,338</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 xml:space="preserve">Astrid Berthelette</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 xml:space="preserve">HR Manager</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 xml:space="preserve">204,000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 xml:space="preserve">70.0</w:t>
            </w:r>
            <w:r w:rsidRPr="00DE3B2E">
              <w:rPr>
                <w:rFonts w:cstheme="minorHAnsi"/>
                <w:color w:val="000000" w:themeColor="text1"/>
                <w:sz w:val="22"/>
                <w:szCs w:val="22"/>
              </w:rPr>
              <w:t>%</w:t>
            </w:r>
            <w:proofErr w:type="gramEnd"/>
            <w:r w:rsidRPr="00DE3B2E">
              <w:rPr>
                <w:rFonts w:cstheme="minorHAnsi"/>
                <w:color w:val="000000" w:themeColor="text1"/>
                <w:sz w:val="22"/>
                <w:szCs w:val="22"/>
              </w:rPr>
              <w:t xml:space="preserve">.</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5 February 2023</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 xml:space="preserve">Based on your achievements in</w:t>
            </w:r>
            <w:r w:rsidR="003E1FF8">
              <w:rPr>
                <w:rFonts w:cstheme="minorHAnsi"/>
                <w:color w:val="000000" w:themeColor="text1"/>
                <w:sz w:val="22"/>
                <w:szCs w:val="22"/>
              </w:rPr>
              <w:t xml:space="preserve"> 2022</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 xml:space="preserve">12,000</w:t>
            </w:r>
            <w:r w:rsidRPr="00DE3B2E">
              <w:rPr>
                <w:rFonts w:cstheme="minorHAnsi"/>
                <w:color w:val="000000" w:themeColor="text1"/>
                <w:sz w:val="22"/>
                <w:szCs w:val="22"/>
              </w:rPr>
              <w:t xml:space="preserve">.</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5 February 2023</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 xml:space="preserve">10.0</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 xml:space="preserve">10.0</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 xml:space="preserve">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Axe</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 xml:space="preserve">100</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 xml:space="preserve">18</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 xml:space="preserve">20</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 xml:space="preserve">750</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 xml:space="preserve">9</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 xml:space="preserve">900</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 xml:space="preserve">800</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 xml:space="preserve">Anne</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 xml:space="preserve">anne@squaretrade.com</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 xml:space="preserve">Bob</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 xml:space="preserve">bob@squaretrade.com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Anne</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anne@squaretrade.com</w:t>
    </w:r>
    <w:r>
      <w:rPr>
        <w:sz w:val="22"/>
        <w:szCs w:val="22"/>
      </w:rPr>
      <w:t xml:space="preserve"> </w:t>
    </w:r>
    <w:r w:rsidRPr="00953FA0">
      <w:rPr>
        <w:rFonts w:cstheme="minorHAnsi"/>
        <w:color w:val="000000" w:themeColor="text1"/>
        <w:sz w:val="22"/>
        <w:szCs w:val="22"/>
      </w:rPr>
      <w:t xml:space="preserve">or Bob</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bob@squaretrade.com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 xml:space="preserve">Salary &amp; Benefit Statement for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 xml:space="preserve">Salary &amp; Benefit Statement for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