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CA0E47" w14:textId="617EE987" w:rsidR="00993794" w:rsidRDefault="002C59BF" w:rsidP="00683D17">
      <w:pPr>
        <w:jc w:val="center"/>
        <w:rPr>
          <w:b/>
          <w:bCs/>
          <w:sz w:val="40"/>
          <w:szCs w:val="40"/>
        </w:rPr>
      </w:pPr>
      <w:r>
        <w:rPr>
          <w:b/>
          <w:bCs/>
          <w:color w:val="4C94D8" w:themeColor="text2" w:themeTint="80"/>
          <w:sz w:val="40"/>
          <w:szCs w:val="40"/>
        </w:rPr>
        <w:t xml:space="preserve">NSP </w:t>
      </w:r>
      <w:r w:rsidR="003E627B">
        <w:rPr>
          <w:b/>
          <w:bCs/>
          <w:color w:val="4C94D8" w:themeColor="text2" w:themeTint="80"/>
          <w:sz w:val="40"/>
          <w:szCs w:val="40"/>
        </w:rPr>
        <w:t>Agent</w:t>
      </w:r>
    </w:p>
    <w:p w14:paraId="0ADB0E43" w14:textId="5CD1C558" w:rsidR="00683D17" w:rsidRPr="003E627B" w:rsidRDefault="009848CF" w:rsidP="00683D17">
      <w:pPr>
        <w:jc w:val="center"/>
        <w:rPr>
          <w:b/>
          <w:bCs/>
          <w:sz w:val="36"/>
          <w:szCs w:val="36"/>
        </w:rPr>
      </w:pPr>
      <w:r w:rsidRPr="003E627B">
        <w:rPr>
          <w:b/>
          <w:bCs/>
        </w:rPr>
        <w:t>T</w:t>
      </w:r>
      <w:r w:rsidR="001D4385" w:rsidRPr="003E627B">
        <w:rPr>
          <w:b/>
          <w:bCs/>
        </w:rPr>
        <w:t xml:space="preserve">o identify NSP for </w:t>
      </w:r>
      <w:r w:rsidR="003E627B" w:rsidRPr="003E627B">
        <w:rPr>
          <w:b/>
          <w:bCs/>
        </w:rPr>
        <w:t>your</w:t>
      </w:r>
      <w:r w:rsidR="001D4385" w:rsidRPr="003E627B">
        <w:rPr>
          <w:b/>
          <w:bCs/>
        </w:rPr>
        <w:t xml:space="preserve"> engagement </w:t>
      </w:r>
      <w:r w:rsidR="003E627B" w:rsidRPr="003E627B">
        <w:rPr>
          <w:b/>
          <w:bCs/>
        </w:rPr>
        <w:t>current or past</w:t>
      </w:r>
    </w:p>
    <w:p w14:paraId="10BEC788" w14:textId="29E3D74B" w:rsidR="00683D17" w:rsidRPr="008876D9" w:rsidRDefault="009848CF" w:rsidP="00683D17">
      <w:pPr>
        <w:rPr>
          <w:sz w:val="22"/>
          <w:szCs w:val="22"/>
        </w:rPr>
      </w:pPr>
      <w:r w:rsidRPr="019411B1">
        <w:rPr>
          <w:b/>
          <w:bCs/>
          <w:color w:val="156082" w:themeColor="accent1"/>
        </w:rPr>
        <w:t>Prompt</w:t>
      </w:r>
      <w:r w:rsidR="6296FAF6" w:rsidRPr="019411B1">
        <w:rPr>
          <w:b/>
          <w:bCs/>
          <w:color w:val="156082" w:themeColor="accent1"/>
        </w:rPr>
        <w:t xml:space="preserve"> 01</w:t>
      </w:r>
      <w:r w:rsidRPr="019411B1">
        <w:rPr>
          <w:b/>
          <w:bCs/>
          <w:color w:val="156082" w:themeColor="accent1"/>
        </w:rPr>
        <w:t>:</w:t>
      </w:r>
      <w:r>
        <w:br/>
      </w:r>
      <w:r w:rsidRPr="019411B1">
        <w:rPr>
          <w:b/>
          <w:bCs/>
          <w:color w:val="156082" w:themeColor="accent1"/>
        </w:rPr>
        <w:t>------------------------------------------------------</w:t>
      </w:r>
      <w:r w:rsidR="00DA1921" w:rsidRPr="019411B1">
        <w:rPr>
          <w:b/>
          <w:bCs/>
          <w:color w:val="156082" w:themeColor="accent1"/>
        </w:rPr>
        <w:t>------------------------------------------------------------</w:t>
      </w:r>
      <w:r>
        <w:br/>
      </w:r>
      <w:r w:rsidR="00683D17" w:rsidRPr="019411B1">
        <w:rPr>
          <w:b/>
          <w:bCs/>
          <w:color w:val="156082" w:themeColor="accent1"/>
        </w:rPr>
        <w:t>Context</w:t>
      </w:r>
      <w:r w:rsidR="00683D17" w:rsidRPr="019411B1">
        <w:rPr>
          <w:b/>
          <w:bCs/>
        </w:rPr>
        <w:t>:</w:t>
      </w:r>
      <w:r w:rsidR="00683D17">
        <w:t xml:space="preserve"> </w:t>
      </w:r>
      <w:r w:rsidR="00683D17" w:rsidRPr="019411B1">
        <w:rPr>
          <w:sz w:val="22"/>
          <w:szCs w:val="22"/>
        </w:rPr>
        <w:t xml:space="preserve">NSP (Next Step Proposal) </w:t>
      </w:r>
      <w:r w:rsidR="00A15DF5" w:rsidRPr="019411B1">
        <w:rPr>
          <w:sz w:val="22"/>
          <w:szCs w:val="22"/>
        </w:rPr>
        <w:t>is</w:t>
      </w:r>
      <w:r w:rsidR="00683D17" w:rsidRPr="019411B1">
        <w:rPr>
          <w:sz w:val="22"/>
          <w:szCs w:val="22"/>
        </w:rPr>
        <w:t xml:space="preserve"> a strategic initiative designed to bridge delivery and sales teams by identifying follow-on opportunities during or after customer engagements.</w:t>
      </w:r>
    </w:p>
    <w:p w14:paraId="01F95FD0" w14:textId="77777777" w:rsidR="00683D17" w:rsidRPr="008876D9" w:rsidRDefault="00683D17" w:rsidP="00683D17">
      <w:pPr>
        <w:rPr>
          <w:sz w:val="22"/>
          <w:szCs w:val="22"/>
        </w:rPr>
      </w:pPr>
      <w:r w:rsidRPr="008876D9">
        <w:rPr>
          <w:sz w:val="22"/>
          <w:szCs w:val="22"/>
        </w:rPr>
        <w:t>Its main goal is to convert delivery-led customer insights into actionable proposals that accelerates and enables delivery teams to proactively surface consulting opportunities that align with customer needs, often leading to incremental revenue and deeper customer relationships.</w:t>
      </w:r>
    </w:p>
    <w:p w14:paraId="56DD52E7" w14:textId="77777777" w:rsidR="00683D17" w:rsidRPr="00683D17" w:rsidRDefault="00683D17" w:rsidP="00683D17">
      <w:pPr>
        <w:rPr>
          <w:b/>
          <w:bCs/>
          <w:color w:val="156082" w:themeColor="accent1"/>
        </w:rPr>
      </w:pPr>
      <w:r w:rsidRPr="00683D17">
        <w:rPr>
          <w:b/>
          <w:bCs/>
          <w:color w:val="156082" w:themeColor="accent1"/>
        </w:rPr>
        <w:t>Inputs:</w:t>
      </w:r>
    </w:p>
    <w:p w14:paraId="74BBE09A" w14:textId="5EC17E76" w:rsidR="00683D17" w:rsidRPr="000E675E" w:rsidRDefault="00683D17" w:rsidP="00683D17">
      <w:pPr>
        <w:pStyle w:val="ListParagraph"/>
        <w:numPr>
          <w:ilvl w:val="0"/>
          <w:numId w:val="6"/>
        </w:numPr>
        <w:rPr>
          <w:sz w:val="22"/>
          <w:szCs w:val="22"/>
        </w:rPr>
      </w:pPr>
      <w:r w:rsidRPr="000E675E">
        <w:rPr>
          <w:sz w:val="22"/>
          <w:szCs w:val="22"/>
        </w:rPr>
        <w:t xml:space="preserve">Customer Context: </w:t>
      </w:r>
      <w:hyperlink r:id="rId6" w:tgtFrame="_blank" w:tooltip="https://emcorgroup.com/" w:history="1">
        <w:r w:rsidRPr="000E675E">
          <w:rPr>
            <w:sz w:val="22"/>
            <w:szCs w:val="22"/>
          </w:rPr>
          <w:t>https://emcorgroup.com/</w:t>
        </w:r>
      </w:hyperlink>
    </w:p>
    <w:p w14:paraId="430392FC" w14:textId="3444D7C0" w:rsidR="00683D17" w:rsidRPr="000E675E" w:rsidRDefault="00683D17" w:rsidP="00683D17">
      <w:pPr>
        <w:pStyle w:val="ListParagraph"/>
        <w:numPr>
          <w:ilvl w:val="0"/>
          <w:numId w:val="6"/>
        </w:numPr>
        <w:rPr>
          <w:sz w:val="22"/>
          <w:szCs w:val="22"/>
        </w:rPr>
      </w:pPr>
      <w:r w:rsidRPr="000E675E">
        <w:rPr>
          <w:sz w:val="22"/>
          <w:szCs w:val="22"/>
        </w:rPr>
        <w:t xml:space="preserve">Current engagement Business objectives and scope: refer to the section "1.1 Customer objectives" and "1.2.Areas in scope" of below </w:t>
      </w:r>
      <w:r w:rsidR="00463D32">
        <w:rPr>
          <w:sz w:val="22"/>
          <w:szCs w:val="22"/>
        </w:rPr>
        <w:t>SOW</w:t>
      </w:r>
      <w:r w:rsidRPr="000E675E">
        <w:rPr>
          <w:sz w:val="22"/>
          <w:szCs w:val="22"/>
        </w:rPr>
        <w:t xml:space="preserve">. </w:t>
      </w:r>
    </w:p>
    <w:p w14:paraId="03C2456F" w14:textId="09285865" w:rsidR="00683D17" w:rsidRPr="000E675E" w:rsidRDefault="001F12F4" w:rsidP="00683D17">
      <w:pPr>
        <w:pStyle w:val="ListParagraph"/>
        <w:rPr>
          <w:sz w:val="22"/>
          <w:szCs w:val="22"/>
        </w:rPr>
      </w:pPr>
      <w:r>
        <w:rPr>
          <w:sz w:val="22"/>
          <w:szCs w:val="22"/>
        </w:rPr>
        <w:t xml:space="preserve">Location of the current SOW: </w:t>
      </w:r>
    </w:p>
    <w:p w14:paraId="19D8D845" w14:textId="7B2AB5C5" w:rsidR="00683D17" w:rsidRPr="00F243FC" w:rsidRDefault="00683D17" w:rsidP="00683D17">
      <w:pPr>
        <w:rPr>
          <w:b/>
          <w:bCs/>
          <w:color w:val="156082" w:themeColor="accent1"/>
        </w:rPr>
      </w:pPr>
      <w:r w:rsidRPr="00683D17">
        <w:rPr>
          <w:b/>
          <w:bCs/>
          <w:color w:val="156082" w:themeColor="accent1"/>
        </w:rPr>
        <w:t xml:space="preserve">Expected Output: </w:t>
      </w:r>
    </w:p>
    <w:p w14:paraId="6BB96F4C" w14:textId="7604A8E3" w:rsidR="00683D17" w:rsidRPr="000E675E" w:rsidRDefault="00683D17" w:rsidP="00683D17">
      <w:pPr>
        <w:pStyle w:val="ListParagraph"/>
        <w:numPr>
          <w:ilvl w:val="0"/>
          <w:numId w:val="6"/>
        </w:numPr>
        <w:rPr>
          <w:sz w:val="22"/>
          <w:szCs w:val="22"/>
        </w:rPr>
      </w:pPr>
      <w:r w:rsidRPr="000E675E">
        <w:rPr>
          <w:sz w:val="22"/>
          <w:szCs w:val="22"/>
        </w:rPr>
        <w:t xml:space="preserve">A set of well-qualified </w:t>
      </w:r>
      <w:r w:rsidR="002A54DC" w:rsidRPr="008876D9">
        <w:rPr>
          <w:sz w:val="22"/>
          <w:szCs w:val="22"/>
        </w:rPr>
        <w:t>NSP (Next Step Proposal)</w:t>
      </w:r>
      <w:r w:rsidR="002A54DC">
        <w:rPr>
          <w:sz w:val="22"/>
          <w:szCs w:val="22"/>
        </w:rPr>
        <w:t xml:space="preserve"> </w:t>
      </w:r>
      <w:r w:rsidRPr="000E675E">
        <w:rPr>
          <w:sz w:val="22"/>
          <w:szCs w:val="22"/>
        </w:rPr>
        <w:t xml:space="preserve">opportunities, each </w:t>
      </w:r>
      <w:r w:rsidR="00967E16" w:rsidRPr="000E675E">
        <w:rPr>
          <w:sz w:val="22"/>
          <w:szCs w:val="22"/>
        </w:rPr>
        <w:t>including</w:t>
      </w:r>
      <w:r w:rsidRPr="000E675E">
        <w:rPr>
          <w:sz w:val="22"/>
          <w:szCs w:val="22"/>
        </w:rPr>
        <w:t xml:space="preserve"> Customer name and context Proposed next step (e.g., phase 2, new solution, extension) </w:t>
      </w:r>
    </w:p>
    <w:p w14:paraId="4EEE71D0" w14:textId="432B35BD" w:rsidR="00683D17" w:rsidRPr="000E675E" w:rsidRDefault="00683D17" w:rsidP="00683D17">
      <w:pPr>
        <w:pStyle w:val="ListParagraph"/>
        <w:numPr>
          <w:ilvl w:val="0"/>
          <w:numId w:val="6"/>
        </w:numPr>
        <w:rPr>
          <w:sz w:val="22"/>
          <w:szCs w:val="22"/>
        </w:rPr>
      </w:pPr>
      <w:r w:rsidRPr="000E675E">
        <w:rPr>
          <w:sz w:val="22"/>
          <w:szCs w:val="22"/>
        </w:rPr>
        <w:t>Estimated value and impact (pipeline, ACR)</w:t>
      </w:r>
    </w:p>
    <w:p w14:paraId="5E05A3B5" w14:textId="77777777" w:rsidR="00683D17" w:rsidRPr="000E675E" w:rsidRDefault="00683D17" w:rsidP="00683D17">
      <w:pPr>
        <w:pStyle w:val="ListParagraph"/>
        <w:numPr>
          <w:ilvl w:val="0"/>
          <w:numId w:val="6"/>
        </w:numPr>
        <w:rPr>
          <w:sz w:val="22"/>
          <w:szCs w:val="22"/>
        </w:rPr>
      </w:pPr>
      <w:r w:rsidRPr="000E675E">
        <w:rPr>
          <w:sz w:val="22"/>
          <w:szCs w:val="22"/>
        </w:rPr>
        <w:t>Suggested timing and engagement model </w:t>
      </w:r>
    </w:p>
    <w:p w14:paraId="31331847" w14:textId="77777777" w:rsidR="00DA4E53" w:rsidRPr="000E675E" w:rsidRDefault="00683D17" w:rsidP="00683D17">
      <w:pPr>
        <w:pStyle w:val="ListParagraph"/>
        <w:numPr>
          <w:ilvl w:val="0"/>
          <w:numId w:val="6"/>
        </w:numPr>
        <w:rPr>
          <w:sz w:val="22"/>
          <w:szCs w:val="22"/>
        </w:rPr>
      </w:pPr>
      <w:r w:rsidRPr="000E675E">
        <w:rPr>
          <w:sz w:val="22"/>
          <w:szCs w:val="22"/>
        </w:rPr>
        <w:t>Supporting rationale (why now, why this solution)</w:t>
      </w:r>
    </w:p>
    <w:p w14:paraId="2C912523" w14:textId="2DB4BCCE" w:rsidR="00683D17" w:rsidRDefault="000E47EA" w:rsidP="00683D17">
      <w:pPr>
        <w:pStyle w:val="ListParagraph"/>
        <w:numPr>
          <w:ilvl w:val="0"/>
          <w:numId w:val="6"/>
        </w:numPr>
        <w:rPr>
          <w:sz w:val="22"/>
          <w:szCs w:val="22"/>
        </w:rPr>
      </w:pPr>
      <w:r w:rsidRPr="000E675E">
        <w:rPr>
          <w:sz w:val="22"/>
          <w:szCs w:val="22"/>
        </w:rPr>
        <w:t>A summary of executive</w:t>
      </w:r>
      <w:r w:rsidR="00DA4E53" w:rsidRPr="000E675E">
        <w:rPr>
          <w:sz w:val="22"/>
          <w:szCs w:val="22"/>
        </w:rPr>
        <w:t xml:space="preserve"> PowerPoint</w:t>
      </w:r>
      <w:r w:rsidRPr="000E675E">
        <w:rPr>
          <w:sz w:val="22"/>
          <w:szCs w:val="22"/>
        </w:rPr>
        <w:t xml:space="preserve"> presentations</w:t>
      </w:r>
      <w:r w:rsidR="007405FC">
        <w:rPr>
          <w:sz w:val="22"/>
          <w:szCs w:val="22"/>
        </w:rPr>
        <w:t xml:space="preserve"> (It should include conclusion and next steps)</w:t>
      </w:r>
    </w:p>
    <w:p w14:paraId="574A6AC2" w14:textId="07B7F314" w:rsidR="00683D17" w:rsidRPr="00683D17" w:rsidRDefault="009848CF" w:rsidP="00683D17">
      <w:pPr>
        <w:rPr>
          <w:b/>
          <w:bCs/>
        </w:rPr>
      </w:pPr>
      <w:r>
        <w:rPr>
          <w:b/>
          <w:bCs/>
          <w:color w:val="156082" w:themeColor="accent1"/>
        </w:rPr>
        <w:t>------------------------------------------------------</w:t>
      </w:r>
      <w:r w:rsidR="00DA1921">
        <w:rPr>
          <w:b/>
          <w:bCs/>
          <w:color w:val="156082" w:themeColor="accent1"/>
        </w:rPr>
        <w:t>------------------------------------------------------------</w:t>
      </w:r>
    </w:p>
    <w:p w14:paraId="7DFAA5A4" w14:textId="58B8A870" w:rsidR="00F243FC" w:rsidRPr="00F243FC" w:rsidRDefault="00F243FC" w:rsidP="00F243FC">
      <w:pPr>
        <w:rPr>
          <w:b/>
          <w:bCs/>
          <w:color w:val="77206D" w:themeColor="accent5" w:themeShade="BF"/>
          <w:lang w:val="en"/>
        </w:rPr>
      </w:pPr>
      <w:r w:rsidRPr="00F243FC">
        <w:rPr>
          <w:b/>
          <w:bCs/>
          <w:color w:val="77206D" w:themeColor="accent5" w:themeShade="BF"/>
          <w:lang w:val="en"/>
        </w:rPr>
        <w:t xml:space="preserve">Additional/Optional input to help tailor the outcome: </w:t>
      </w:r>
    </w:p>
    <w:p w14:paraId="27A51B7A" w14:textId="594F7C95" w:rsidR="005B1038" w:rsidRPr="00EA0B75" w:rsidRDefault="00F243FC" w:rsidP="5FE1EA0B">
      <w:pPr>
        <w:pStyle w:val="ListParagraph"/>
        <w:numPr>
          <w:ilvl w:val="0"/>
          <w:numId w:val="7"/>
        </w:numPr>
        <w:rPr>
          <w:sz w:val="20"/>
          <w:szCs w:val="20"/>
        </w:rPr>
      </w:pPr>
      <w:r w:rsidRPr="5FE1EA0B">
        <w:rPr>
          <w:sz w:val="20"/>
          <w:szCs w:val="20"/>
        </w:rPr>
        <w:t>Delivery Insights</w:t>
      </w:r>
      <w:r w:rsidR="00AD1E4D" w:rsidRPr="5FE1EA0B">
        <w:rPr>
          <w:sz w:val="20"/>
          <w:szCs w:val="20"/>
        </w:rPr>
        <w:t xml:space="preserve">: This is </w:t>
      </w:r>
      <w:r w:rsidR="000A6240" w:rsidRPr="5FE1EA0B">
        <w:rPr>
          <w:sz w:val="20"/>
          <w:szCs w:val="20"/>
        </w:rPr>
        <w:t>where</w:t>
      </w:r>
      <w:r w:rsidR="00AD1E4D" w:rsidRPr="5FE1EA0B">
        <w:rPr>
          <w:sz w:val="20"/>
          <w:szCs w:val="20"/>
        </w:rPr>
        <w:t xml:space="preserve"> we can </w:t>
      </w:r>
      <w:r w:rsidR="0007118D" w:rsidRPr="5FE1EA0B">
        <w:rPr>
          <w:sz w:val="20"/>
          <w:szCs w:val="20"/>
        </w:rPr>
        <w:t>add</w:t>
      </w:r>
      <w:r w:rsidR="00AD1E4D" w:rsidRPr="5FE1EA0B">
        <w:rPr>
          <w:sz w:val="20"/>
          <w:szCs w:val="20"/>
        </w:rPr>
        <w:t xml:space="preserve"> the co</w:t>
      </w:r>
      <w:r w:rsidR="000A6240" w:rsidRPr="5FE1EA0B">
        <w:rPr>
          <w:sz w:val="20"/>
          <w:szCs w:val="20"/>
        </w:rPr>
        <w:t>mplexity change</w:t>
      </w:r>
      <w:r w:rsidR="005B1038" w:rsidRPr="5FE1EA0B">
        <w:rPr>
          <w:sz w:val="20"/>
          <w:szCs w:val="20"/>
        </w:rPr>
        <w:t xml:space="preserve"> and change request</w:t>
      </w:r>
      <w:r w:rsidR="00A83802" w:rsidRPr="5FE1EA0B">
        <w:rPr>
          <w:sz w:val="20"/>
          <w:szCs w:val="20"/>
        </w:rPr>
        <w:t xml:space="preserve"> or new scope which is logical next steps that can be easily identified.</w:t>
      </w:r>
    </w:p>
    <w:p w14:paraId="1752ABE0" w14:textId="76D6B434" w:rsidR="00F243FC" w:rsidRPr="006C3C1A" w:rsidRDefault="00F243FC" w:rsidP="5FE1EA0B">
      <w:pPr>
        <w:pStyle w:val="ListParagraph"/>
        <w:numPr>
          <w:ilvl w:val="0"/>
          <w:numId w:val="7"/>
        </w:numPr>
        <w:rPr>
          <w:sz w:val="20"/>
          <w:szCs w:val="20"/>
        </w:rPr>
      </w:pPr>
      <w:r w:rsidRPr="5FE1EA0B">
        <w:rPr>
          <w:sz w:val="20"/>
          <w:szCs w:val="20"/>
        </w:rPr>
        <w:t>Observations and input from delivery teams</w:t>
      </w:r>
      <w:r w:rsidR="006C3C1A" w:rsidRPr="5FE1EA0B">
        <w:rPr>
          <w:sz w:val="20"/>
          <w:szCs w:val="20"/>
        </w:rPr>
        <w:t xml:space="preserve">, </w:t>
      </w:r>
      <w:r w:rsidRPr="5FE1EA0B">
        <w:rPr>
          <w:sz w:val="20"/>
          <w:szCs w:val="20"/>
        </w:rPr>
        <w:t>Unmet needs or emerging challenge</w:t>
      </w:r>
    </w:p>
    <w:p w14:paraId="59986858" w14:textId="77777777" w:rsidR="00F243FC" w:rsidRPr="00EA0B75" w:rsidRDefault="00F243FC" w:rsidP="00F243FC">
      <w:pPr>
        <w:pStyle w:val="ListParagraph"/>
        <w:numPr>
          <w:ilvl w:val="0"/>
          <w:numId w:val="7"/>
        </w:numPr>
        <w:rPr>
          <w:sz w:val="20"/>
          <w:szCs w:val="20"/>
          <w:lang w:val="en"/>
        </w:rPr>
      </w:pPr>
      <w:r w:rsidRPr="00EA0B75">
        <w:rPr>
          <w:sz w:val="20"/>
          <w:szCs w:val="20"/>
          <w:lang w:val="en"/>
        </w:rPr>
        <w:t>Industry and segment insights</w:t>
      </w:r>
    </w:p>
    <w:p w14:paraId="4A59B67A" w14:textId="210576F3" w:rsidR="00F243FC" w:rsidRPr="00EA0B75" w:rsidRDefault="00F243FC" w:rsidP="00F243FC">
      <w:pPr>
        <w:pStyle w:val="ListParagraph"/>
        <w:numPr>
          <w:ilvl w:val="0"/>
          <w:numId w:val="7"/>
        </w:numPr>
        <w:rPr>
          <w:sz w:val="20"/>
          <w:szCs w:val="20"/>
          <w:lang w:val="en"/>
        </w:rPr>
      </w:pPr>
      <w:r w:rsidRPr="00EA0B75">
        <w:rPr>
          <w:sz w:val="20"/>
          <w:szCs w:val="20"/>
          <w:lang w:val="en"/>
        </w:rPr>
        <w:t>Solution Mapping</w:t>
      </w:r>
      <w:r w:rsidR="00DA111A" w:rsidRPr="00EA0B75">
        <w:rPr>
          <w:sz w:val="20"/>
          <w:szCs w:val="20"/>
          <w:lang w:val="en"/>
        </w:rPr>
        <w:t xml:space="preserve"> &amp; </w:t>
      </w:r>
      <w:r w:rsidRPr="00EA0B75">
        <w:rPr>
          <w:sz w:val="20"/>
          <w:szCs w:val="20"/>
          <w:lang w:val="en"/>
        </w:rPr>
        <w:t>Available Microsoft offerings or accelerators</w:t>
      </w:r>
    </w:p>
    <w:p w14:paraId="6EBA4B05" w14:textId="77777777" w:rsidR="00F243FC" w:rsidRPr="00EA0B75" w:rsidRDefault="00F243FC" w:rsidP="00F243FC">
      <w:pPr>
        <w:pStyle w:val="ListParagraph"/>
        <w:numPr>
          <w:ilvl w:val="0"/>
          <w:numId w:val="7"/>
        </w:numPr>
        <w:rPr>
          <w:sz w:val="20"/>
          <w:szCs w:val="20"/>
          <w:lang w:val="en"/>
        </w:rPr>
      </w:pPr>
      <w:r w:rsidRPr="00EA0B75">
        <w:rPr>
          <w:sz w:val="20"/>
          <w:szCs w:val="20"/>
          <w:lang w:val="en"/>
        </w:rPr>
        <w:t>Relevant solution plays or use cases</w:t>
      </w:r>
    </w:p>
    <w:p w14:paraId="7BDD03D0" w14:textId="77777777" w:rsidR="00F243FC" w:rsidRPr="00EA0B75" w:rsidRDefault="00F243FC" w:rsidP="00F243FC">
      <w:pPr>
        <w:pStyle w:val="ListParagraph"/>
        <w:numPr>
          <w:ilvl w:val="0"/>
          <w:numId w:val="7"/>
        </w:numPr>
        <w:rPr>
          <w:sz w:val="20"/>
          <w:szCs w:val="20"/>
          <w:lang w:val="en"/>
        </w:rPr>
      </w:pPr>
      <w:r w:rsidRPr="00EA0B75">
        <w:rPr>
          <w:sz w:val="20"/>
          <w:szCs w:val="20"/>
          <w:lang w:val="en"/>
        </w:rPr>
        <w:t>Technical feasibility and readiness</w:t>
      </w:r>
    </w:p>
    <w:p w14:paraId="1F44167E" w14:textId="4B8BB0EB" w:rsidR="00F243FC" w:rsidRPr="006C3C1A" w:rsidRDefault="00F243FC" w:rsidP="00BF202A">
      <w:pPr>
        <w:pStyle w:val="ListParagraph"/>
        <w:numPr>
          <w:ilvl w:val="0"/>
          <w:numId w:val="7"/>
        </w:numPr>
        <w:rPr>
          <w:lang w:val="en"/>
        </w:rPr>
      </w:pPr>
      <w:r w:rsidRPr="006C3C1A">
        <w:rPr>
          <w:sz w:val="20"/>
          <w:szCs w:val="20"/>
          <w:lang w:val="en"/>
        </w:rPr>
        <w:t>Account Strategy</w:t>
      </w:r>
      <w:r w:rsidR="006C3C1A" w:rsidRPr="006C3C1A">
        <w:rPr>
          <w:sz w:val="20"/>
          <w:szCs w:val="20"/>
          <w:lang w:val="en"/>
        </w:rPr>
        <w:t>,</w:t>
      </w:r>
      <w:r w:rsidR="006C3C1A">
        <w:rPr>
          <w:sz w:val="20"/>
          <w:szCs w:val="20"/>
          <w:lang w:val="en"/>
        </w:rPr>
        <w:t xml:space="preserve"> </w:t>
      </w:r>
      <w:r w:rsidRPr="006C3C1A">
        <w:rPr>
          <w:sz w:val="20"/>
          <w:szCs w:val="20"/>
          <w:lang w:val="en"/>
        </w:rPr>
        <w:t>Existing account plans, if any</w:t>
      </w:r>
      <w:r w:rsidR="0038415E" w:rsidRPr="006C3C1A">
        <w:rPr>
          <w:sz w:val="20"/>
          <w:szCs w:val="20"/>
          <w:lang w:val="en"/>
        </w:rPr>
        <w:t xml:space="preserve">, </w:t>
      </w:r>
      <w:r w:rsidRPr="006C3C1A">
        <w:rPr>
          <w:sz w:val="20"/>
          <w:szCs w:val="20"/>
          <w:lang w:val="en"/>
        </w:rPr>
        <w:t>Seller priorities and pipeline goals</w:t>
      </w:r>
      <w:r w:rsidR="00BF202A" w:rsidRPr="006C3C1A">
        <w:rPr>
          <w:sz w:val="20"/>
          <w:szCs w:val="20"/>
          <w:lang w:val="en"/>
        </w:rPr>
        <w:br/>
      </w:r>
      <w:r w:rsidRPr="006C3C1A">
        <w:rPr>
          <w:sz w:val="20"/>
          <w:szCs w:val="20"/>
          <w:lang w:val="en"/>
        </w:rPr>
        <w:t>Consumption targets (e.g., ACR, CCCV)</w:t>
      </w:r>
      <w:r w:rsidR="00BF202A" w:rsidRPr="006C3C1A">
        <w:rPr>
          <w:lang w:val="en"/>
        </w:rPr>
        <w:br/>
      </w:r>
    </w:p>
    <w:p w14:paraId="771D48AB" w14:textId="77777777" w:rsidR="005D6D00" w:rsidRDefault="005D6D00" w:rsidP="005D6D00">
      <w:pPr>
        <w:rPr>
          <w:lang w:val="en"/>
        </w:rPr>
      </w:pPr>
    </w:p>
    <w:p w14:paraId="795749B9" w14:textId="77777777" w:rsidR="0068489D" w:rsidRDefault="009A40B8" w:rsidP="005D6D00">
      <w:pPr>
        <w:rPr>
          <w:b/>
          <w:bCs/>
          <w:color w:val="4EA72E" w:themeColor="accent6"/>
        </w:rPr>
      </w:pPr>
      <w:r>
        <w:rPr>
          <w:b/>
          <w:bCs/>
        </w:rPr>
        <w:t>What next once you have couple of NSP recommendations from the agent:</w:t>
      </w:r>
      <w:r>
        <w:rPr>
          <w:b/>
          <w:bCs/>
        </w:rPr>
        <w:br/>
      </w:r>
      <w:r w:rsidR="00BA400B" w:rsidRPr="00221F53">
        <w:rPr>
          <w:b/>
          <w:bCs/>
          <w:color w:val="4EA72E" w:themeColor="accent6"/>
        </w:rPr>
        <w:t xml:space="preserve">Good news, we  have </w:t>
      </w:r>
      <w:r w:rsidR="005D6D00" w:rsidRPr="005D6D00">
        <w:rPr>
          <w:b/>
          <w:bCs/>
          <w:color w:val="4EA72E" w:themeColor="accent6"/>
        </w:rPr>
        <w:t xml:space="preserve">Reusable Prompt Template: </w:t>
      </w:r>
      <w:r w:rsidR="0068489D">
        <w:rPr>
          <w:b/>
          <w:bCs/>
          <w:color w:val="4EA72E" w:themeColor="accent6"/>
        </w:rPr>
        <w:t>to generate presales artifacts, like SOW, estimate and summary presentation.</w:t>
      </w:r>
    </w:p>
    <w:p w14:paraId="713348DF" w14:textId="22D23937" w:rsidR="005D6D00" w:rsidRPr="005D6D00" w:rsidRDefault="0068489D" w:rsidP="005D6D00">
      <w:pPr>
        <w:rPr>
          <w:color w:val="4EA72E" w:themeColor="accent6"/>
        </w:rPr>
      </w:pPr>
      <w:r>
        <w:rPr>
          <w:b/>
          <w:bCs/>
          <w:color w:val="4EA72E" w:themeColor="accent6"/>
        </w:rPr>
        <w:br/>
      </w:r>
      <w:r w:rsidRPr="0068489D">
        <w:rPr>
          <w:b/>
          <w:bCs/>
          <w:color w:val="156082" w:themeColor="accent1"/>
        </w:rPr>
        <w:t>Prompt:</w:t>
      </w:r>
      <w:r>
        <w:rPr>
          <w:b/>
          <w:bCs/>
          <w:color w:val="4EA72E" w:themeColor="accent6"/>
        </w:rPr>
        <w:t xml:space="preserve"> </w:t>
      </w:r>
      <w:r w:rsidRPr="0068489D">
        <w:t>update the template parameter as needed</w:t>
      </w:r>
    </w:p>
    <w:p w14:paraId="3297F6FE" w14:textId="3CE7E58E" w:rsidR="008B1264" w:rsidRDefault="0068489D" w:rsidP="005D6D00">
      <w:r>
        <w:rPr>
          <w:b/>
          <w:bCs/>
          <w:color w:val="156082" w:themeColor="accent1"/>
        </w:rPr>
        <w:t>------------------------------------------------------------------------------------------------------------------</w:t>
      </w:r>
      <w:r w:rsidR="005D6D00" w:rsidRPr="005D6D00">
        <w:t>I want to generate a full proposal package for a Next Step Proposal (NSP) focused on [</w:t>
      </w:r>
      <w:r w:rsidR="005D6D00" w:rsidRPr="005D6D00">
        <w:rPr>
          <w:highlight w:val="yellow"/>
        </w:rPr>
        <w:t>insert engagement theme or scope here, e.g., Adoption &amp; Change Management, Security &amp; Compliance, Analytics Modernization, Integration Framework, etc</w:t>
      </w:r>
      <w:r w:rsidR="005D6D00" w:rsidRPr="005D6D00">
        <w:t xml:space="preserve">.]. </w:t>
      </w:r>
    </w:p>
    <w:p w14:paraId="577F9071" w14:textId="33E6A6C1" w:rsidR="005D6D00" w:rsidRPr="005D6D00" w:rsidRDefault="005D6D00" w:rsidP="008B1264">
      <w:pPr>
        <w:spacing w:after="0"/>
      </w:pPr>
      <w:r w:rsidRPr="005D6D00">
        <w:t>The package should include:</w:t>
      </w:r>
    </w:p>
    <w:p w14:paraId="53D51B96" w14:textId="77777777" w:rsidR="005D6D00" w:rsidRPr="005D6D00" w:rsidRDefault="005D6D00" w:rsidP="008B1264">
      <w:pPr>
        <w:numPr>
          <w:ilvl w:val="0"/>
          <w:numId w:val="8"/>
        </w:numPr>
        <w:spacing w:after="0"/>
      </w:pPr>
      <w:r w:rsidRPr="005D6D00">
        <w:t>A draft Statement of Work (SOW) using the Microsoft Services standard SOW template. The SOW should outline:</w:t>
      </w:r>
    </w:p>
    <w:p w14:paraId="31902FD8" w14:textId="77777777" w:rsidR="005D6D00" w:rsidRPr="005D6D00" w:rsidRDefault="005D6D00" w:rsidP="008B1264">
      <w:pPr>
        <w:numPr>
          <w:ilvl w:val="1"/>
          <w:numId w:val="8"/>
        </w:numPr>
        <w:spacing w:after="0"/>
      </w:pPr>
      <w:r w:rsidRPr="005D6D00">
        <w:t>Engagement objectives and customer context</w:t>
      </w:r>
    </w:p>
    <w:p w14:paraId="03884FF5" w14:textId="77777777" w:rsidR="005D6D00" w:rsidRPr="005D6D00" w:rsidRDefault="005D6D00" w:rsidP="008B1264">
      <w:pPr>
        <w:numPr>
          <w:ilvl w:val="1"/>
          <w:numId w:val="8"/>
        </w:numPr>
        <w:spacing w:after="0"/>
      </w:pPr>
      <w:r w:rsidRPr="005D6D00">
        <w:t>Scope of work and in-scope activities</w:t>
      </w:r>
    </w:p>
    <w:p w14:paraId="1F701F5B" w14:textId="77777777" w:rsidR="005D6D00" w:rsidRPr="005D6D00" w:rsidRDefault="005D6D00" w:rsidP="008B1264">
      <w:pPr>
        <w:numPr>
          <w:ilvl w:val="1"/>
          <w:numId w:val="8"/>
        </w:numPr>
        <w:spacing w:after="0"/>
      </w:pPr>
      <w:r w:rsidRPr="005D6D00">
        <w:t>Deliverables and timeline</w:t>
      </w:r>
    </w:p>
    <w:p w14:paraId="2B6FA620" w14:textId="77777777" w:rsidR="005D6D00" w:rsidRPr="005D6D00" w:rsidRDefault="005D6D00" w:rsidP="008B1264">
      <w:pPr>
        <w:numPr>
          <w:ilvl w:val="1"/>
          <w:numId w:val="8"/>
        </w:numPr>
        <w:spacing w:after="0"/>
      </w:pPr>
      <w:r w:rsidRPr="005D6D00">
        <w:t>Roles and responsibilities (Microsoft and customer)</w:t>
      </w:r>
    </w:p>
    <w:p w14:paraId="7544D8B6" w14:textId="77777777" w:rsidR="005D6D00" w:rsidRPr="005D6D00" w:rsidRDefault="005D6D00" w:rsidP="008B1264">
      <w:pPr>
        <w:numPr>
          <w:ilvl w:val="1"/>
          <w:numId w:val="8"/>
        </w:numPr>
        <w:spacing w:after="0"/>
      </w:pPr>
      <w:r w:rsidRPr="005D6D00">
        <w:t>Assumptions and out-of-scope items</w:t>
      </w:r>
    </w:p>
    <w:p w14:paraId="6D3ABC12" w14:textId="77777777" w:rsidR="005D6D00" w:rsidRPr="005D6D00" w:rsidRDefault="005D6D00" w:rsidP="008B1264">
      <w:pPr>
        <w:numPr>
          <w:ilvl w:val="1"/>
          <w:numId w:val="8"/>
        </w:numPr>
        <w:spacing w:after="0"/>
      </w:pPr>
      <w:r w:rsidRPr="005D6D00">
        <w:t>Governance and communication plan</w:t>
      </w:r>
    </w:p>
    <w:p w14:paraId="014DE56B" w14:textId="77777777" w:rsidR="005D6D00" w:rsidRPr="005D6D00" w:rsidRDefault="005D6D00" w:rsidP="008B1264">
      <w:pPr>
        <w:numPr>
          <w:ilvl w:val="0"/>
          <w:numId w:val="8"/>
        </w:numPr>
        <w:spacing w:after="0"/>
      </w:pPr>
      <w:r w:rsidRPr="005D6D00">
        <w:t>A summary slide suitable for executive presentation, highlighting:</w:t>
      </w:r>
    </w:p>
    <w:p w14:paraId="2466FC7C" w14:textId="77777777" w:rsidR="005D6D00" w:rsidRPr="005D6D00" w:rsidRDefault="005D6D00" w:rsidP="008B1264">
      <w:pPr>
        <w:numPr>
          <w:ilvl w:val="1"/>
          <w:numId w:val="8"/>
        </w:numPr>
        <w:spacing w:after="0"/>
      </w:pPr>
      <w:r w:rsidRPr="005D6D00">
        <w:t>Engagement objectives</w:t>
      </w:r>
    </w:p>
    <w:p w14:paraId="1DF0E6E2" w14:textId="77777777" w:rsidR="005D6D00" w:rsidRPr="005D6D00" w:rsidRDefault="005D6D00" w:rsidP="008B1264">
      <w:pPr>
        <w:numPr>
          <w:ilvl w:val="1"/>
          <w:numId w:val="8"/>
        </w:numPr>
        <w:spacing w:after="0"/>
      </w:pPr>
      <w:r w:rsidRPr="005D6D00">
        <w:t>Key deliverables</w:t>
      </w:r>
    </w:p>
    <w:p w14:paraId="3DD6362B" w14:textId="77777777" w:rsidR="005D6D00" w:rsidRPr="005D6D00" w:rsidRDefault="005D6D00" w:rsidP="008B1264">
      <w:pPr>
        <w:numPr>
          <w:ilvl w:val="1"/>
          <w:numId w:val="8"/>
        </w:numPr>
        <w:spacing w:after="0"/>
      </w:pPr>
      <w:r w:rsidRPr="005D6D00">
        <w:t>Timeline and approach</w:t>
      </w:r>
    </w:p>
    <w:p w14:paraId="5DE8EB72" w14:textId="77777777" w:rsidR="005D6D00" w:rsidRPr="005D6D00" w:rsidRDefault="005D6D00" w:rsidP="008B1264">
      <w:pPr>
        <w:numPr>
          <w:ilvl w:val="1"/>
          <w:numId w:val="8"/>
        </w:numPr>
        <w:spacing w:after="0"/>
      </w:pPr>
      <w:r w:rsidRPr="005D6D00">
        <w:t>Resource plan</w:t>
      </w:r>
    </w:p>
    <w:p w14:paraId="4B9D5213" w14:textId="77777777" w:rsidR="005D6D00" w:rsidRPr="005D6D00" w:rsidRDefault="005D6D00" w:rsidP="008B1264">
      <w:pPr>
        <w:numPr>
          <w:ilvl w:val="1"/>
          <w:numId w:val="8"/>
        </w:numPr>
        <w:spacing w:after="0"/>
      </w:pPr>
      <w:r w:rsidRPr="005D6D00">
        <w:t>Business impact</w:t>
      </w:r>
    </w:p>
    <w:p w14:paraId="6D627EB0" w14:textId="77777777" w:rsidR="005D6D00" w:rsidRPr="005D6D00" w:rsidRDefault="005D6D00" w:rsidP="008B1264">
      <w:pPr>
        <w:numPr>
          <w:ilvl w:val="0"/>
          <w:numId w:val="8"/>
        </w:numPr>
        <w:spacing w:after="0"/>
      </w:pPr>
      <w:r w:rsidRPr="005D6D00">
        <w:t>A resource loading/plan sheet listing:</w:t>
      </w:r>
    </w:p>
    <w:p w14:paraId="76A31354" w14:textId="77777777" w:rsidR="005D6D00" w:rsidRPr="005D6D00" w:rsidRDefault="005D6D00" w:rsidP="008B1264">
      <w:pPr>
        <w:numPr>
          <w:ilvl w:val="1"/>
          <w:numId w:val="8"/>
        </w:numPr>
        <w:spacing w:after="0"/>
      </w:pPr>
      <w:r w:rsidRPr="005D6D00">
        <w:t>All roles required to deliver the project (e.g., Project Manager, Architect, Consultant, SME, etc.)</w:t>
      </w:r>
    </w:p>
    <w:p w14:paraId="69298535" w14:textId="77777777" w:rsidR="005D6D00" w:rsidRPr="005D6D00" w:rsidRDefault="005D6D00" w:rsidP="008B1264">
      <w:pPr>
        <w:numPr>
          <w:ilvl w:val="1"/>
          <w:numId w:val="8"/>
        </w:numPr>
        <w:spacing w:after="0"/>
      </w:pPr>
      <w:r w:rsidRPr="005D6D00">
        <w:t>Estimated effort per role</w:t>
      </w:r>
    </w:p>
    <w:p w14:paraId="78E840A8" w14:textId="77777777" w:rsidR="005D6D00" w:rsidRPr="005D6D00" w:rsidRDefault="005D6D00" w:rsidP="008B1264">
      <w:pPr>
        <w:numPr>
          <w:ilvl w:val="1"/>
          <w:numId w:val="8"/>
        </w:numPr>
        <w:spacing w:after="0"/>
      </w:pPr>
      <w:r w:rsidRPr="005D6D00">
        <w:t>Timeline alignment</w:t>
      </w:r>
    </w:p>
    <w:p w14:paraId="01055749" w14:textId="77777777" w:rsidR="005D6D00" w:rsidRPr="005D6D00" w:rsidRDefault="005D6D00" w:rsidP="008B1264">
      <w:pPr>
        <w:spacing w:after="0"/>
      </w:pPr>
      <w:r w:rsidRPr="005D6D00">
        <w:t>The engagement should be scoped based on the nature of the opportunity (e.g., 4–6 weeks for adoption, 6–8 weeks for security, 8–10 weeks for analytics, etc.). Please use relevant work sources including NSP planning files, customer SOW documents, and Microsoft Services templates and guidance. The output should be professional and ready for review by customer leadership</w:t>
      </w:r>
    </w:p>
    <w:p w14:paraId="49F5E11C" w14:textId="275E4C82" w:rsidR="005D6D00" w:rsidRDefault="0068489D" w:rsidP="005D6D00">
      <w:r>
        <w:rPr>
          <w:b/>
          <w:bCs/>
          <w:color w:val="156082" w:themeColor="accent1"/>
        </w:rPr>
        <w:t>------------------------------------------------------------------------------------------------------------------</w:t>
      </w:r>
    </w:p>
    <w:p w14:paraId="3F42A89C" w14:textId="77777777" w:rsidR="008B1264" w:rsidRDefault="008B1264" w:rsidP="005D6D00"/>
    <w:p w14:paraId="07AD4194" w14:textId="1CAFC81F" w:rsidR="00683D17" w:rsidRDefault="00683D17" w:rsidP="008B1264">
      <w:pPr>
        <w:jc w:val="center"/>
        <w:rPr>
          <w:b/>
          <w:bCs/>
          <w:color w:val="4C94D8" w:themeColor="text2" w:themeTint="80"/>
          <w:sz w:val="40"/>
          <w:szCs w:val="40"/>
        </w:rPr>
      </w:pPr>
      <w:r w:rsidRPr="019411B1">
        <w:rPr>
          <w:b/>
          <w:bCs/>
          <w:color w:val="4C94D8" w:themeColor="text2" w:themeTint="80"/>
          <w:sz w:val="40"/>
          <w:szCs w:val="40"/>
        </w:rPr>
        <w:t>Output</w:t>
      </w:r>
      <w:r w:rsidR="008B1264" w:rsidRPr="019411B1">
        <w:rPr>
          <w:b/>
          <w:bCs/>
          <w:color w:val="4C94D8" w:themeColor="text2" w:themeTint="80"/>
          <w:sz w:val="40"/>
          <w:szCs w:val="40"/>
        </w:rPr>
        <w:t xml:space="preserve"> for first NSP prompt</w:t>
      </w:r>
      <w:r w:rsidR="35D5BADF" w:rsidRPr="019411B1">
        <w:rPr>
          <w:b/>
          <w:bCs/>
          <w:color w:val="4C94D8" w:themeColor="text2" w:themeTint="80"/>
          <w:sz w:val="40"/>
          <w:szCs w:val="40"/>
        </w:rPr>
        <w:t>01</w:t>
      </w:r>
    </w:p>
    <w:p w14:paraId="3F0E2F47" w14:textId="5F92394E" w:rsidR="00E42633" w:rsidRPr="00E42633" w:rsidRDefault="00683D17" w:rsidP="00683D17">
      <w:pPr>
        <w:rPr>
          <w:b/>
          <w:bCs/>
        </w:rPr>
      </w:pPr>
      <w:r>
        <w:rPr>
          <w:b/>
          <w:bCs/>
        </w:rPr>
        <w:br/>
      </w:r>
      <w:r w:rsidR="00E42633" w:rsidRPr="00E42633">
        <w:rPr>
          <w:b/>
          <w:bCs/>
        </w:rPr>
        <w:t>Opportunity 1: Enterprise Employee Experience &amp; Adoption Enhancement</w:t>
      </w:r>
    </w:p>
    <w:p w14:paraId="1E3896EE" w14:textId="77777777" w:rsidR="00E42633" w:rsidRPr="00E42633" w:rsidRDefault="00E42633" w:rsidP="00E42633">
      <w:r w:rsidRPr="00E42633">
        <w:rPr>
          <w:b/>
          <w:bCs/>
        </w:rPr>
        <w:t>Proposed Next Step:</w:t>
      </w:r>
      <w:r w:rsidRPr="00E42633">
        <w:t xml:space="preserve"> Launch a </w:t>
      </w:r>
      <w:r w:rsidRPr="00E42633">
        <w:rPr>
          <w:b/>
          <w:bCs/>
        </w:rPr>
        <w:t>Modern Workplace Adoption Program</w:t>
      </w:r>
      <w:r w:rsidRPr="00E42633">
        <w:t xml:space="preserve"> to maximize the benefits of the newly unified Microsoft 365 environment. This would include building a </w:t>
      </w:r>
      <w:r w:rsidRPr="00E42633">
        <w:rPr>
          <w:b/>
          <w:bCs/>
        </w:rPr>
        <w:t>centralized intranet and knowledge hub</w:t>
      </w:r>
      <w:r w:rsidRPr="00E42633">
        <w:t xml:space="preserve"> (leveraging SharePoint and Viva Connections) and rolling out </w:t>
      </w:r>
      <w:r w:rsidRPr="00E42633">
        <w:rPr>
          <w:b/>
          <w:bCs/>
        </w:rPr>
        <w:t>advanced Teams features</w:t>
      </w:r>
      <w:r w:rsidRPr="00E42633">
        <w:t xml:space="preserve"> (enterprise voice, integrated video conferencing) to replace legacy tools. Additionally, conduct a comprehensive </w:t>
      </w:r>
      <w:r w:rsidRPr="00E42633">
        <w:rPr>
          <w:b/>
          <w:bCs/>
        </w:rPr>
        <w:t>user training &amp; champions initiative</w:t>
      </w:r>
      <w:r w:rsidRPr="00E42633">
        <w:t xml:space="preserve"> to drive adoption of M365 apps (Teams, OneDrive, SharePoint) across EMCOR and Miller Electric.</w:t>
      </w:r>
    </w:p>
    <w:p w14:paraId="7C02DDA8" w14:textId="77777777" w:rsidR="00E42633" w:rsidRPr="00E42633" w:rsidRDefault="00E42633" w:rsidP="00E42633">
      <w:r w:rsidRPr="00E42633">
        <w:rPr>
          <w:b/>
          <w:bCs/>
        </w:rPr>
        <w:t xml:space="preserve">Estimated Value &amp; </w:t>
      </w:r>
      <w:proofErr w:type="spellStart"/>
      <w:r w:rsidRPr="00E42633">
        <w:rPr>
          <w:b/>
          <w:bCs/>
        </w:rPr>
        <w:t>Impact:</w:t>
      </w:r>
      <w:r w:rsidRPr="00E42633">
        <w:rPr>
          <w:i/>
          <w:iCs/>
        </w:rPr>
        <w:t>Pipeline</w:t>
      </w:r>
      <w:proofErr w:type="spellEnd"/>
      <w:r w:rsidRPr="00E42633">
        <w:rPr>
          <w:i/>
          <w:iCs/>
        </w:rPr>
        <w:t xml:space="preserve"> ~$500K-</w:t>
      </w:r>
      <w:r w:rsidRPr="00E42633">
        <w:t xml:space="preserve"> This program could be structured as a </w:t>
      </w:r>
      <w:proofErr w:type="gramStart"/>
      <w:r w:rsidRPr="00E42633">
        <w:t>3-4 month</w:t>
      </w:r>
      <w:proofErr w:type="gramEnd"/>
      <w:r w:rsidRPr="00E42633">
        <w:t xml:space="preserve"> consulting engagement. It delivers high ROI by </w:t>
      </w:r>
      <w:r w:rsidRPr="00E42633">
        <w:rPr>
          <w:b/>
          <w:bCs/>
        </w:rPr>
        <w:t>boosting employee productivity and satisfaction</w:t>
      </w:r>
      <w:r w:rsidRPr="00E42633">
        <w:t xml:space="preserve">. A unified intranet and fully adopted Teams platform empower EMCOR’s ~1,800 migrated users (and the broader organization) to collaborate seamlessly. Faster onboarding to new tools can translate to regained work hours (less email reliance, more efficient file sharing) and improved cross-company communication. While not directly Azure-consumption focused, improved M365 usage often leads to </w:t>
      </w:r>
      <w:r w:rsidRPr="00E42633">
        <w:rPr>
          <w:b/>
          <w:bCs/>
        </w:rPr>
        <w:t>incremental license uptake</w:t>
      </w:r>
      <w:r w:rsidRPr="00E42633">
        <w:t xml:space="preserve"> (e.g. adding Viva or Phone System licenses) and increases stickiness of Microsoft cloud services. </w:t>
      </w:r>
      <w:hyperlink r:id="rId7" w:history="1">
        <w:r w:rsidRPr="00E42633">
          <w:rPr>
            <w:rStyle w:val="Hyperlink"/>
          </w:rPr>
          <w:t xml:space="preserve">[EMCOR </w:t>
        </w:r>
        <w:proofErr w:type="spellStart"/>
        <w:r w:rsidRPr="00E42633">
          <w:rPr>
            <w:rStyle w:val="Hyperlink"/>
          </w:rPr>
          <w:t>Goog</w:t>
        </w:r>
        <w:proofErr w:type="spellEnd"/>
        <w:r w:rsidRPr="00E42633">
          <w:rPr>
            <w:rStyle w:val="Hyperlink"/>
          </w:rPr>
          <w:t>...05072025 ]</w:t>
        </w:r>
      </w:hyperlink>
    </w:p>
    <w:p w14:paraId="14FE74E3" w14:textId="77777777" w:rsidR="00E42633" w:rsidRPr="00E42633" w:rsidRDefault="00E42633" w:rsidP="00E42633">
      <w:r w:rsidRPr="00E42633">
        <w:rPr>
          <w:b/>
          <w:bCs/>
        </w:rPr>
        <w:t>Suggested Timing &amp; Model:</w:t>
      </w:r>
      <w:r w:rsidRPr="00E42633">
        <w:t xml:space="preserve"> Kick off immediately </w:t>
      </w:r>
      <w:r w:rsidRPr="00E42633">
        <w:rPr>
          <w:b/>
          <w:bCs/>
        </w:rPr>
        <w:t>after Miller Electric’s migration is completed</w:t>
      </w:r>
      <w:r w:rsidRPr="00E42633">
        <w:t xml:space="preserve"> (e.g. Q1 FY26) to capitalize on momentum. A </w:t>
      </w:r>
      <w:r w:rsidRPr="00E42633">
        <w:rPr>
          <w:b/>
          <w:bCs/>
        </w:rPr>
        <w:t>fixed-scope project</w:t>
      </w:r>
      <w:r w:rsidRPr="00E42633">
        <w:t xml:space="preserve"> with Microsoft’s Adoption &amp; Change Management consultants over ~12 weeks can execute this. The engagement model might include on-site workshops, development of intranet portals, and monthly progress checkpoints. This timing ensures that as soon as Miller employees are on M365, they receive structured support to fully embrace the new tools (aligns with EMCOR’s objective of </w:t>
      </w:r>
      <w:r w:rsidRPr="00E42633">
        <w:rPr>
          <w:i/>
          <w:iCs/>
        </w:rPr>
        <w:t>“seamless collaboration across the combined organization”</w:t>
      </w:r>
      <w:r w:rsidRPr="00E42633">
        <w:t xml:space="preserve">). </w:t>
      </w:r>
      <w:hyperlink r:id="rId8" w:history="1">
        <w:r w:rsidRPr="00E42633">
          <w:rPr>
            <w:rStyle w:val="Hyperlink"/>
          </w:rPr>
          <w:t xml:space="preserve">[EMCOR </w:t>
        </w:r>
        <w:proofErr w:type="spellStart"/>
        <w:r w:rsidRPr="00E42633">
          <w:rPr>
            <w:rStyle w:val="Hyperlink"/>
          </w:rPr>
          <w:t>Goog</w:t>
        </w:r>
        <w:proofErr w:type="spellEnd"/>
        <w:r w:rsidRPr="00E42633">
          <w:rPr>
            <w:rStyle w:val="Hyperlink"/>
          </w:rPr>
          <w:t>...05072025 ]</w:t>
        </w:r>
      </w:hyperlink>
    </w:p>
    <w:p w14:paraId="00D6EFE0" w14:textId="77777777" w:rsidR="00E42633" w:rsidRPr="00E42633" w:rsidRDefault="00E42633" w:rsidP="00E42633">
      <w:proofErr w:type="spellStart"/>
      <w:r w:rsidRPr="00E42633">
        <w:rPr>
          <w:b/>
          <w:bCs/>
        </w:rPr>
        <w:t>Rationale:</w:t>
      </w:r>
      <w:r w:rsidRPr="00E42633">
        <w:rPr>
          <w:i/>
          <w:iCs/>
        </w:rPr>
        <w:t>Why</w:t>
      </w:r>
      <w:proofErr w:type="spellEnd"/>
      <w:r w:rsidRPr="00E42633">
        <w:rPr>
          <w:i/>
          <w:iCs/>
        </w:rPr>
        <w:t xml:space="preserve"> now?</w:t>
      </w:r>
      <w:r w:rsidRPr="00E42633">
        <w:t xml:space="preserve"> EMCOR’s primary objective was a </w:t>
      </w:r>
      <w:r w:rsidRPr="00E42633">
        <w:rPr>
          <w:b/>
          <w:bCs/>
        </w:rPr>
        <w:t>“unified and modern employee experience”</w:t>
      </w:r>
      <w:r w:rsidRPr="00E42633">
        <w:t xml:space="preserve"> through the consolidation. Simply migrating accounts won’t guarantee that goal unless users are properly </w:t>
      </w:r>
      <w:proofErr w:type="gramStart"/>
      <w:r w:rsidRPr="00E42633">
        <w:t>onboarded</w:t>
      </w:r>
      <w:proofErr w:type="gramEnd"/>
      <w:r w:rsidRPr="00E42633">
        <w:t xml:space="preserve"> and empowered with the new platform. By investing in adoption and employee experience enhancements now, EMCOR ensures the technology integration truly delivers business value. This proposal also addresses an </w:t>
      </w:r>
      <w:r w:rsidRPr="00E42633">
        <w:rPr>
          <w:b/>
          <w:bCs/>
        </w:rPr>
        <w:t>out-of-scope gap</w:t>
      </w:r>
      <w:r w:rsidRPr="00E42633">
        <w:t xml:space="preserve"> from the initial project: formal end-user training and communications were explicitly not included in the migration SOW. Therefore, this NSP closes that gap – driving higher usage of M365 features, mitigating any productivity dip from change, and ultimately </w:t>
      </w:r>
      <w:r w:rsidRPr="00E42633">
        <w:rPr>
          <w:b/>
          <w:bCs/>
        </w:rPr>
        <w:t>deepening EMCOR’s relationship with Microsoft</w:t>
      </w:r>
      <w:r w:rsidRPr="00E42633">
        <w:t xml:space="preserve"> as a strategic partner in workforce transformation. </w:t>
      </w:r>
      <w:hyperlink r:id="rId9" w:history="1">
        <w:r w:rsidRPr="00E42633">
          <w:rPr>
            <w:rStyle w:val="Hyperlink"/>
          </w:rPr>
          <w:t xml:space="preserve">[EMCOR </w:t>
        </w:r>
        <w:proofErr w:type="spellStart"/>
        <w:r w:rsidRPr="00E42633">
          <w:rPr>
            <w:rStyle w:val="Hyperlink"/>
          </w:rPr>
          <w:t>Goog</w:t>
        </w:r>
        <w:proofErr w:type="spellEnd"/>
        <w:r w:rsidRPr="00E42633">
          <w:rPr>
            <w:rStyle w:val="Hyperlink"/>
          </w:rPr>
          <w:t>...05072025 ]</w:t>
        </w:r>
      </w:hyperlink>
    </w:p>
    <w:p w14:paraId="50BD1BD2" w14:textId="77777777" w:rsidR="00E42633" w:rsidRPr="00E42633" w:rsidRDefault="00000000" w:rsidP="00E42633">
      <w:r>
        <w:pict w14:anchorId="6A670E7B">
          <v:rect id="_x0000_i1025" style="width:0;height:1.5pt" o:hralign="center" o:hrstd="t" o:hr="t" fillcolor="#a0a0a0" stroked="f"/>
        </w:pict>
      </w:r>
    </w:p>
    <w:p w14:paraId="01E13105" w14:textId="77777777" w:rsidR="00E42633" w:rsidRPr="00E42633" w:rsidRDefault="00E42633" w:rsidP="00E42633">
      <w:pPr>
        <w:rPr>
          <w:b/>
          <w:bCs/>
        </w:rPr>
      </w:pPr>
      <w:r w:rsidRPr="00E42633">
        <w:rPr>
          <w:b/>
          <w:bCs/>
        </w:rPr>
        <w:t>Opportunity 2: Security &amp; Compliance Optimization</w:t>
      </w:r>
    </w:p>
    <w:p w14:paraId="372230B5" w14:textId="77777777" w:rsidR="00E42633" w:rsidRPr="00E42633" w:rsidRDefault="00E42633" w:rsidP="00E42633">
      <w:r w:rsidRPr="00E42633">
        <w:rPr>
          <w:b/>
          <w:bCs/>
        </w:rPr>
        <w:t>Proposed Next Step:</w:t>
      </w:r>
      <w:r w:rsidRPr="00E42633">
        <w:t xml:space="preserve"> Perform a </w:t>
      </w:r>
      <w:r w:rsidRPr="00E42633">
        <w:rPr>
          <w:b/>
          <w:bCs/>
        </w:rPr>
        <w:t>Post-Migration Security &amp; Compliance Assessment and Enhancement</w:t>
      </w:r>
      <w:r w:rsidRPr="00E42633">
        <w:t xml:space="preserve"> project. This would involve reviewing the integrated EMCOR/Miller environment against Microsoft 365 best practices for security, identity management, and compliance. Key deliverables include:</w:t>
      </w:r>
    </w:p>
    <w:p w14:paraId="35B369D2" w14:textId="77777777" w:rsidR="00E42633" w:rsidRPr="00E42633" w:rsidRDefault="00E42633" w:rsidP="00E42633">
      <w:pPr>
        <w:numPr>
          <w:ilvl w:val="0"/>
          <w:numId w:val="1"/>
        </w:numPr>
      </w:pPr>
      <w:r w:rsidRPr="00E42633">
        <w:t xml:space="preserve">Deploying or configuring </w:t>
      </w:r>
      <w:r w:rsidRPr="00E42633">
        <w:rPr>
          <w:b/>
          <w:bCs/>
        </w:rPr>
        <w:t>advanced security features</w:t>
      </w:r>
      <w:r w:rsidRPr="00E42633">
        <w:t xml:space="preserve"> (e.g. Azure AD Conditional Access, MFA for any remaining users, Defender for Office 365, etc.).</w:t>
      </w:r>
    </w:p>
    <w:p w14:paraId="3EEF7482" w14:textId="77777777" w:rsidR="00E42633" w:rsidRPr="00E42633" w:rsidRDefault="00E42633" w:rsidP="00E42633">
      <w:pPr>
        <w:numPr>
          <w:ilvl w:val="0"/>
          <w:numId w:val="1"/>
        </w:numPr>
      </w:pPr>
      <w:r w:rsidRPr="00E42633">
        <w:t xml:space="preserve">Conducting a </w:t>
      </w:r>
      <w:r w:rsidRPr="00E42633">
        <w:rPr>
          <w:b/>
          <w:bCs/>
        </w:rPr>
        <w:t>compliance gap analysis</w:t>
      </w:r>
      <w:r w:rsidRPr="00E42633">
        <w:t xml:space="preserve"> to align Miller Electric’s data with EMCOR’s governance policies (ensuring data retention, DLP, and audit settings meet corporate and regulatory requirements).</w:t>
      </w:r>
    </w:p>
    <w:p w14:paraId="03556331" w14:textId="77777777" w:rsidR="00E42633" w:rsidRPr="00E42633" w:rsidRDefault="00E42633" w:rsidP="00E42633">
      <w:pPr>
        <w:numPr>
          <w:ilvl w:val="0"/>
          <w:numId w:val="1"/>
        </w:numPr>
      </w:pPr>
      <w:r w:rsidRPr="00E42633">
        <w:t xml:space="preserve">Delivering a </w:t>
      </w:r>
      <w:r w:rsidRPr="00E42633">
        <w:rPr>
          <w:b/>
          <w:bCs/>
        </w:rPr>
        <w:t>roadmap to achieve a unified security posture</w:t>
      </w:r>
      <w:r w:rsidRPr="00E42633">
        <w:t xml:space="preserve">, possibly including </w:t>
      </w:r>
      <w:r w:rsidRPr="00E42633">
        <w:rPr>
          <w:b/>
          <w:bCs/>
        </w:rPr>
        <w:t>Azure Secure Score improvements</w:t>
      </w:r>
      <w:r w:rsidRPr="00E42633">
        <w:t xml:space="preserve"> and </w:t>
      </w:r>
      <w:r w:rsidRPr="00E42633">
        <w:rPr>
          <w:b/>
          <w:bCs/>
        </w:rPr>
        <w:t>Microsoft Purview</w:t>
      </w:r>
      <w:r w:rsidRPr="00E42633">
        <w:t xml:space="preserve"> implementation for data governance.</w:t>
      </w:r>
    </w:p>
    <w:p w14:paraId="7DCAF89B" w14:textId="77777777" w:rsidR="00E42633" w:rsidRPr="00E42633" w:rsidRDefault="00E42633" w:rsidP="00E42633">
      <w:r w:rsidRPr="00E42633">
        <w:rPr>
          <w:b/>
          <w:bCs/>
        </w:rPr>
        <w:t xml:space="preserve">Estimated Value &amp; </w:t>
      </w:r>
      <w:proofErr w:type="spellStart"/>
      <w:r w:rsidRPr="00E42633">
        <w:rPr>
          <w:b/>
          <w:bCs/>
        </w:rPr>
        <w:t>Impact:</w:t>
      </w:r>
      <w:r w:rsidRPr="00E42633">
        <w:rPr>
          <w:i/>
          <w:iCs/>
        </w:rPr>
        <w:t>Pipeline</w:t>
      </w:r>
      <w:proofErr w:type="spellEnd"/>
      <w:r w:rsidRPr="00E42633">
        <w:rPr>
          <w:i/>
          <w:iCs/>
        </w:rPr>
        <w:t xml:space="preserve"> ~$300K</w:t>
      </w:r>
      <w:r w:rsidRPr="00E42633">
        <w:t xml:space="preserve">. This is a shorter engagement (~6-8 weeks) focused on risk mitigation — crucial for a company of EMCOR’s scale operating in industries with strict safety and contractual requirements. By tightening security now, EMCOR reduces the risk of breaches or compliance issues that could arise from the newly merged environments. For example, ensuring </w:t>
      </w:r>
      <w:r w:rsidRPr="00E42633">
        <w:rPr>
          <w:b/>
          <w:bCs/>
        </w:rPr>
        <w:t>consistent security controls</w:t>
      </w:r>
      <w:r w:rsidRPr="00E42633">
        <w:t xml:space="preserve"> across Miller Electric users can prevent vulnerabilities during the transition (a known concern in M&amp;A IT integrations). The impact is both qualitative (peace of mind, audit readiness) and quantitative: preventing incidents avoids potentially high costs, and some recommended solutions (e.g. advanced compliance add-ons or EMS E5 security features) could result in incremental license revenue for Microsoft if adopted. Additionally, optimizing security can drive </w:t>
      </w:r>
      <w:r w:rsidRPr="00E42633">
        <w:rPr>
          <w:b/>
          <w:bCs/>
        </w:rPr>
        <w:t>Azure Consumed Revenue (ACR)</w:t>
      </w:r>
      <w:r w:rsidRPr="00E42633">
        <w:t xml:space="preserve"> indirectly by utilizing Azure AD Premium features and logging (if not already in place).</w:t>
      </w:r>
    </w:p>
    <w:p w14:paraId="6EB06026" w14:textId="77777777" w:rsidR="00E42633" w:rsidRPr="00E42633" w:rsidRDefault="00E42633" w:rsidP="00E42633">
      <w:r w:rsidRPr="00E42633">
        <w:rPr>
          <w:b/>
          <w:bCs/>
        </w:rPr>
        <w:t>Suggested Timing &amp; Model:</w:t>
      </w:r>
      <w:r w:rsidRPr="00E42633">
        <w:t xml:space="preserve"> Initiate this </w:t>
      </w:r>
      <w:r w:rsidRPr="00E42633">
        <w:rPr>
          <w:b/>
          <w:bCs/>
        </w:rPr>
        <w:t>engagement in parallel with or immediately after the core migration</w:t>
      </w:r>
      <w:r w:rsidRPr="00E42633">
        <w:t xml:space="preserve">, so that security is not an afterthought. A small team of Microsoft cybersecurity consultants can lead it, working alongside EMCOR’s IT security staff. The engagement model would be an </w:t>
      </w:r>
      <w:r w:rsidRPr="00E42633">
        <w:rPr>
          <w:b/>
          <w:bCs/>
        </w:rPr>
        <w:t>assessment + remediation</w:t>
      </w:r>
      <w:r w:rsidRPr="00E42633">
        <w:t xml:space="preserve"> project: first 2-3 weeks of analysis and workshops, then implementing quick wins in the subsequent weeks. This timeline ensures that by the time all Miller users are </w:t>
      </w:r>
      <w:proofErr w:type="gramStart"/>
      <w:r w:rsidRPr="00E42633">
        <w:t>live</w:t>
      </w:r>
      <w:proofErr w:type="gramEnd"/>
      <w:r w:rsidRPr="00E42633">
        <w:t xml:space="preserve"> in EMCOR’s tenant, their accounts and data are under unified protections.</w:t>
      </w:r>
    </w:p>
    <w:p w14:paraId="7F657CB9" w14:textId="77777777" w:rsidR="00E42633" w:rsidRPr="00E42633" w:rsidRDefault="00E42633" w:rsidP="00E42633">
      <w:proofErr w:type="spellStart"/>
      <w:r w:rsidRPr="00E42633">
        <w:rPr>
          <w:b/>
          <w:bCs/>
        </w:rPr>
        <w:t>Rationale:</w:t>
      </w:r>
      <w:r w:rsidRPr="00E42633">
        <w:rPr>
          <w:i/>
          <w:iCs/>
        </w:rPr>
        <w:t>Why</w:t>
      </w:r>
      <w:proofErr w:type="spellEnd"/>
      <w:r w:rsidRPr="00E42633">
        <w:rPr>
          <w:i/>
          <w:iCs/>
        </w:rPr>
        <w:t xml:space="preserve"> this solution?</w:t>
      </w:r>
      <w:r w:rsidRPr="00E42633">
        <w:t xml:space="preserve"> EMCOR’s integration project explicitly limits its scope to migration activities; broader </w:t>
      </w:r>
      <w:r w:rsidRPr="00E42633">
        <w:rPr>
          <w:b/>
          <w:bCs/>
        </w:rPr>
        <w:t>“comprehensive security assessment or implementation”</w:t>
      </w:r>
      <w:r w:rsidRPr="00E42633">
        <w:t xml:space="preserve"> is called out as not included. Given that </w:t>
      </w:r>
      <w:r w:rsidRPr="00E42633">
        <w:rPr>
          <w:b/>
          <w:bCs/>
        </w:rPr>
        <w:t>one of EMCOR’s core objectives is to “protect...sophisticated systems” across its companies</w:t>
      </w:r>
      <w:r w:rsidRPr="00E42633">
        <w:t xml:space="preserve">, it’s prudent to shore up security post-migration. This NSP leverages Microsoft’s expertise to </w:t>
      </w:r>
      <w:r w:rsidRPr="00E42633">
        <w:rPr>
          <w:i/>
          <w:iCs/>
        </w:rPr>
        <w:t>“meet or exceed the Customer’s requirements”</w:t>
      </w:r>
      <w:r w:rsidRPr="00E42633">
        <w:t xml:space="preserve"> for data protection in the new environment. It deepens the partnership by moving from pure deployment into security advisory – a high-value consulting area. By delivering tangible improvements (like higher Secure Score, established compliance workflows) and mapping them to EMCOR’s business (protecting IP, ensuring contractor data safety, etc.), Microsoft solidifies its role as a trusted advisor for EMCOR’s IT governance. </w:t>
      </w:r>
      <w:hyperlink r:id="rId10" w:history="1">
        <w:r w:rsidRPr="00E42633">
          <w:rPr>
            <w:rStyle w:val="Hyperlink"/>
          </w:rPr>
          <w:t xml:space="preserve">[EMCOR </w:t>
        </w:r>
        <w:proofErr w:type="spellStart"/>
        <w:r w:rsidRPr="00E42633">
          <w:rPr>
            <w:rStyle w:val="Hyperlink"/>
          </w:rPr>
          <w:t>Goog</w:t>
        </w:r>
        <w:proofErr w:type="spellEnd"/>
        <w:r w:rsidRPr="00E42633">
          <w:rPr>
            <w:rStyle w:val="Hyperlink"/>
          </w:rPr>
          <w:t>...05072025 ]</w:t>
        </w:r>
      </w:hyperlink>
      <w:r w:rsidRPr="00E42633">
        <w:t xml:space="preserve"> </w:t>
      </w:r>
      <w:hyperlink r:id="rId11" w:history="1">
        <w:r w:rsidRPr="00E42633">
          <w:rPr>
            <w:rStyle w:val="Hyperlink"/>
          </w:rPr>
          <w:t xml:space="preserve">[EMCOR </w:t>
        </w:r>
        <w:proofErr w:type="spellStart"/>
        <w:r w:rsidRPr="00E42633">
          <w:rPr>
            <w:rStyle w:val="Hyperlink"/>
          </w:rPr>
          <w:t>Grou</w:t>
        </w:r>
        <w:proofErr w:type="spellEnd"/>
        <w:r w:rsidRPr="00E42633">
          <w:rPr>
            <w:rStyle w:val="Hyperlink"/>
          </w:rPr>
          <w:t>...</w:t>
        </w:r>
        <w:proofErr w:type="spellStart"/>
        <w:r w:rsidRPr="00E42633">
          <w:rPr>
            <w:rStyle w:val="Hyperlink"/>
          </w:rPr>
          <w:t>lities</w:t>
        </w:r>
        <w:proofErr w:type="spellEnd"/>
        <w:r w:rsidRPr="00E42633">
          <w:rPr>
            <w:rStyle w:val="Hyperlink"/>
          </w:rPr>
          <w:t xml:space="preserve"> ...]</w:t>
        </w:r>
      </w:hyperlink>
    </w:p>
    <w:p w14:paraId="736ECD33" w14:textId="77777777" w:rsidR="00E42633" w:rsidRPr="00E42633" w:rsidRDefault="00000000" w:rsidP="00E42633">
      <w:r>
        <w:pict w14:anchorId="0EA38617">
          <v:rect id="_x0000_i1026" style="width:0;height:1.5pt" o:hralign="center" o:hrstd="t" o:hr="t" fillcolor="#a0a0a0" stroked="f"/>
        </w:pict>
      </w:r>
    </w:p>
    <w:p w14:paraId="7CC31170" w14:textId="77777777" w:rsidR="00E42633" w:rsidRPr="00E42633" w:rsidRDefault="00E42633" w:rsidP="00E42633">
      <w:pPr>
        <w:rPr>
          <w:b/>
          <w:bCs/>
        </w:rPr>
      </w:pPr>
      <w:r w:rsidRPr="00E42633">
        <w:rPr>
          <w:b/>
          <w:bCs/>
        </w:rPr>
        <w:t>Opportunity 3: M&amp;A IT Integration Framework for Future Acquisitions</w:t>
      </w:r>
    </w:p>
    <w:p w14:paraId="6280F5E3" w14:textId="77777777" w:rsidR="00E42633" w:rsidRPr="00E42633" w:rsidRDefault="00E42633" w:rsidP="00E42633">
      <w:r w:rsidRPr="00E42633">
        <w:rPr>
          <w:b/>
          <w:bCs/>
        </w:rPr>
        <w:t>Proposed Next Step:</w:t>
      </w:r>
      <w:r w:rsidRPr="00E42633">
        <w:t xml:space="preserve"> Develop a </w:t>
      </w:r>
      <w:r w:rsidRPr="00E42633">
        <w:rPr>
          <w:b/>
          <w:bCs/>
        </w:rPr>
        <w:t>standardized Integration Framework and Toolkit</w:t>
      </w:r>
      <w:r w:rsidRPr="00E42633">
        <w:t xml:space="preserve"> that EMCOR can reuse for future mergers and acquisitions. Building on lessons learned from the Miller Electric migration, Microsoft would help codify best practices into:</w:t>
      </w:r>
    </w:p>
    <w:p w14:paraId="0865FD94" w14:textId="77777777" w:rsidR="00E42633" w:rsidRPr="00E42633" w:rsidRDefault="00E42633" w:rsidP="00E42633">
      <w:pPr>
        <w:numPr>
          <w:ilvl w:val="0"/>
          <w:numId w:val="2"/>
        </w:numPr>
      </w:pPr>
      <w:r w:rsidRPr="00E42633">
        <w:t xml:space="preserve">A </w:t>
      </w:r>
      <w:r w:rsidRPr="00E42633">
        <w:rPr>
          <w:b/>
          <w:bCs/>
        </w:rPr>
        <w:t>playbook document</w:t>
      </w:r>
      <w:r w:rsidRPr="00E42633">
        <w:t xml:space="preserve"> outlining end-to-end process for IT integration (</w:t>
      </w:r>
      <w:proofErr w:type="gramStart"/>
      <w:r w:rsidRPr="00E42633">
        <w:t>from discovery,</w:t>
      </w:r>
      <w:proofErr w:type="gramEnd"/>
      <w:r w:rsidRPr="00E42633">
        <w:t xml:space="preserve"> to tenant-to-tenant migration plan, to change management).</w:t>
      </w:r>
    </w:p>
    <w:p w14:paraId="4BBDD0C2" w14:textId="77777777" w:rsidR="00E42633" w:rsidRPr="00E42633" w:rsidRDefault="00E42633" w:rsidP="00E42633">
      <w:pPr>
        <w:numPr>
          <w:ilvl w:val="0"/>
          <w:numId w:val="2"/>
        </w:numPr>
      </w:pPr>
      <w:r w:rsidRPr="00E42633">
        <w:t xml:space="preserve">Reusable </w:t>
      </w:r>
      <w:r w:rsidRPr="00E42633">
        <w:rPr>
          <w:b/>
          <w:bCs/>
        </w:rPr>
        <w:t>scripts and automation</w:t>
      </w:r>
      <w:r w:rsidRPr="00E42633">
        <w:t xml:space="preserve"> (e.g., Azure AD user migration scripts, data migration templates) packaged for EMCOR’s IT team.</w:t>
      </w:r>
    </w:p>
    <w:p w14:paraId="4BFE92F2" w14:textId="77777777" w:rsidR="00E42633" w:rsidRPr="00E42633" w:rsidRDefault="00E42633" w:rsidP="00E42633">
      <w:pPr>
        <w:numPr>
          <w:ilvl w:val="0"/>
          <w:numId w:val="2"/>
        </w:numPr>
      </w:pPr>
      <w:r w:rsidRPr="00E42633">
        <w:t xml:space="preserve">A </w:t>
      </w:r>
      <w:r w:rsidRPr="00E42633">
        <w:rPr>
          <w:b/>
          <w:bCs/>
        </w:rPr>
        <w:t>rapid deployment approach</w:t>
      </w:r>
      <w:r w:rsidRPr="00E42633">
        <w:t xml:space="preserve"> for subsequent Google Workspace or M365 consolidations, tailored to EMCOR’s environment.</w:t>
      </w:r>
    </w:p>
    <w:p w14:paraId="00581A0C" w14:textId="77777777" w:rsidR="00E42633" w:rsidRPr="00E42633" w:rsidRDefault="00E42633" w:rsidP="00E42633">
      <w:r w:rsidRPr="00E42633">
        <w:t xml:space="preserve">This could also include a </w:t>
      </w:r>
      <w:r w:rsidRPr="00E42633">
        <w:rPr>
          <w:b/>
          <w:bCs/>
        </w:rPr>
        <w:t>pilot application</w:t>
      </w:r>
      <w:r w:rsidRPr="00E42633">
        <w:t>: identifying another small acquisition or operating company within EMCOR that could be integrated as a test case using the new framework, to validate and refine the toolkit.</w:t>
      </w:r>
    </w:p>
    <w:p w14:paraId="4EEBE073" w14:textId="77777777" w:rsidR="00E42633" w:rsidRPr="00E42633" w:rsidRDefault="00E42633" w:rsidP="00E42633">
      <w:r w:rsidRPr="00E42633">
        <w:rPr>
          <w:b/>
          <w:bCs/>
        </w:rPr>
        <w:t xml:space="preserve">Estimated Value &amp; </w:t>
      </w:r>
      <w:proofErr w:type="spellStart"/>
      <w:r w:rsidRPr="00E42633">
        <w:rPr>
          <w:b/>
          <w:bCs/>
        </w:rPr>
        <w:t>Impact:</w:t>
      </w:r>
      <w:r w:rsidRPr="00E42633">
        <w:rPr>
          <w:i/>
          <w:iCs/>
        </w:rPr>
        <w:t>Pipeline</w:t>
      </w:r>
      <w:proofErr w:type="spellEnd"/>
      <w:r w:rsidRPr="00E42633">
        <w:rPr>
          <w:i/>
          <w:iCs/>
        </w:rPr>
        <w:t xml:space="preserve"> ~$400K.</w:t>
      </w:r>
      <w:r w:rsidRPr="00E42633">
        <w:t xml:space="preserve"> This proposal is essentially a consulting engagement to </w:t>
      </w:r>
      <w:r w:rsidRPr="00E42633">
        <w:rPr>
          <w:b/>
          <w:bCs/>
        </w:rPr>
        <w:t>accelerate and template-</w:t>
      </w:r>
      <w:proofErr w:type="spellStart"/>
      <w:r w:rsidRPr="00E42633">
        <w:rPr>
          <w:b/>
          <w:bCs/>
        </w:rPr>
        <w:t>ize</w:t>
      </w:r>
      <w:proofErr w:type="spellEnd"/>
      <w:r w:rsidRPr="00E42633">
        <w:t xml:space="preserve"> a repeatable process, likely 8-10 weeks of effort. The value to EMCOR is high: with ~100 operating companies, many on different systems, having a ready playbook can cut costs and time for each future integration by a significant margin (e.g., reducing a future migration project timeline by 30%). It also reduces risk, since known pitfalls from Miller Electric’s project (like handling “Google Sites” quirks or license procurement timing) will be documented with mitigation steps. For Microsoft, this deepens the relationship by essentially embedding Microsoft’s methodologies into EMCOR’s IT strategy. It can indirectly lead to </w:t>
      </w:r>
      <w:r w:rsidRPr="00E42633">
        <w:rPr>
          <w:b/>
          <w:bCs/>
        </w:rPr>
        <w:t>additional projects</w:t>
      </w:r>
      <w:r w:rsidRPr="00E42633">
        <w:t xml:space="preserve"> (as each future acquisition might still call on Microsoft for assistance) and possibly tool/software sales (EMCOR might invest in maintaining certain migration tools or Azure services as part of the kit). </w:t>
      </w:r>
      <w:hyperlink r:id="rId12" w:history="1">
        <w:r w:rsidRPr="00E42633">
          <w:rPr>
            <w:rStyle w:val="Hyperlink"/>
          </w:rPr>
          <w:t xml:space="preserve">[EMCOR </w:t>
        </w:r>
        <w:proofErr w:type="spellStart"/>
        <w:r w:rsidRPr="00E42633">
          <w:rPr>
            <w:rStyle w:val="Hyperlink"/>
          </w:rPr>
          <w:t>Grou</w:t>
        </w:r>
        <w:proofErr w:type="spellEnd"/>
        <w:r w:rsidRPr="00E42633">
          <w:rPr>
            <w:rStyle w:val="Hyperlink"/>
          </w:rPr>
          <w:t>...</w:t>
        </w:r>
        <w:proofErr w:type="spellStart"/>
        <w:r w:rsidRPr="00E42633">
          <w:rPr>
            <w:rStyle w:val="Hyperlink"/>
          </w:rPr>
          <w:t>lities</w:t>
        </w:r>
        <w:proofErr w:type="spellEnd"/>
        <w:r w:rsidRPr="00E42633">
          <w:rPr>
            <w:rStyle w:val="Hyperlink"/>
          </w:rPr>
          <w:t xml:space="preserve"> ...]</w:t>
        </w:r>
      </w:hyperlink>
    </w:p>
    <w:p w14:paraId="4A0E8E6B" w14:textId="77777777" w:rsidR="00E42633" w:rsidRPr="00E42633" w:rsidRDefault="00E42633" w:rsidP="00E42633">
      <w:r w:rsidRPr="00E42633">
        <w:rPr>
          <w:b/>
          <w:bCs/>
        </w:rPr>
        <w:t>Suggested Timing &amp; Model:</w:t>
      </w:r>
      <w:r w:rsidRPr="00E42633">
        <w:t xml:space="preserve"> Propose this as a </w:t>
      </w:r>
      <w:r w:rsidRPr="00E42633">
        <w:rPr>
          <w:b/>
          <w:bCs/>
        </w:rPr>
        <w:t>follow-on in FY26 H2</w:t>
      </w:r>
      <w:r w:rsidRPr="00E42633">
        <w:t xml:space="preserve"> (once Miller Electric migration is in steady state, say mid 2026). It would function as a </w:t>
      </w:r>
      <w:r w:rsidRPr="00E42633">
        <w:rPr>
          <w:b/>
          <w:bCs/>
        </w:rPr>
        <w:t>workshop series + build project</w:t>
      </w:r>
      <w:r w:rsidRPr="00E42633">
        <w:t>: Microsoft architects consult with EMCOR’s IT leadership to capture requirements, then develop the framework deliverables. The model here is more advisory/architectural, working intermittently with EMCOR’s team rather than full-time execution. Ideally, schedule it so that it aligns with EMCOR’s next planned acquisition or consolidation – e.g., kick it off as soon as EMCOR signals another Google or Exchange environment needs migrating.</w:t>
      </w:r>
    </w:p>
    <w:p w14:paraId="2B7A83A7" w14:textId="77777777" w:rsidR="00E42633" w:rsidRPr="00E42633" w:rsidRDefault="00E42633" w:rsidP="00E42633">
      <w:proofErr w:type="spellStart"/>
      <w:r w:rsidRPr="00E42633">
        <w:rPr>
          <w:b/>
          <w:bCs/>
        </w:rPr>
        <w:t>Rationale:</w:t>
      </w:r>
      <w:r w:rsidRPr="00E42633">
        <w:rPr>
          <w:i/>
          <w:iCs/>
        </w:rPr>
        <w:t>Why</w:t>
      </w:r>
      <w:proofErr w:type="spellEnd"/>
      <w:r w:rsidRPr="00E42633">
        <w:rPr>
          <w:i/>
          <w:iCs/>
        </w:rPr>
        <w:t xml:space="preserve"> invest now?</w:t>
      </w:r>
      <w:r w:rsidRPr="00E42633">
        <w:t xml:space="preserve"> EMCOR’s corporate strategy includes growth through acquisitions (implicitly shown by the numerous operating companies). Executing IT integration smoothly is vital to realizing the value of those acquisitions. The Miller Electric project gave a blueprint of technical steps (e.g., migrating 7.9 TB of data, consolidating domains). Capturing that know-how and improving on it will </w:t>
      </w:r>
      <w:r w:rsidRPr="00E42633">
        <w:rPr>
          <w:b/>
          <w:bCs/>
        </w:rPr>
        <w:t>save EMCOR time and ensure consistency</w:t>
      </w:r>
      <w:r w:rsidRPr="00E42633">
        <w:t xml:space="preserve"> in future, fulfilling the objective of </w:t>
      </w:r>
      <w:r w:rsidRPr="00E42633">
        <w:rPr>
          <w:i/>
          <w:iCs/>
        </w:rPr>
        <w:t>“quickly achieving technology integration”</w:t>
      </w:r>
      <w:r w:rsidRPr="00E42633">
        <w:t xml:space="preserve"> across the enterprise. It also addresses EMCOR’s goal of a </w:t>
      </w:r>
      <w:r w:rsidRPr="00E42633">
        <w:rPr>
          <w:i/>
          <w:iCs/>
        </w:rPr>
        <w:t>“consolidated platform”</w:t>
      </w:r>
      <w:r w:rsidRPr="00E42633">
        <w:t xml:space="preserve"> for unified experience by making consolidation easier to repeat. From Microsoft’s perspective, enabling EMCOR with a self-sufficiency toolkit showcases added value beyond the immediate project and positions Microsoft’s services for any complex integrations (for instance, if a future acquired company runs on non-Google systems, EMCOR </w:t>
      </w:r>
      <w:proofErr w:type="gramStart"/>
      <w:r w:rsidRPr="00E42633">
        <w:t>will</w:t>
      </w:r>
      <w:proofErr w:type="gramEnd"/>
      <w:r w:rsidRPr="00E42633">
        <w:t xml:space="preserve"> still turn to Microsoft for help applying the framework). In essence, this NSP is about </w:t>
      </w:r>
      <w:r w:rsidRPr="00E42633">
        <w:rPr>
          <w:b/>
          <w:bCs/>
        </w:rPr>
        <w:t>future-proofing the partnership</w:t>
      </w:r>
      <w:r w:rsidRPr="00E42633">
        <w:t xml:space="preserve"> – making Microsoft an integral part of EMCOR’s M&amp;A integration strategy. </w:t>
      </w:r>
      <w:hyperlink r:id="rId13" w:history="1">
        <w:r w:rsidRPr="00E42633">
          <w:rPr>
            <w:rStyle w:val="Hyperlink"/>
          </w:rPr>
          <w:t xml:space="preserve">[EMCOR </w:t>
        </w:r>
        <w:proofErr w:type="spellStart"/>
        <w:r w:rsidRPr="00E42633">
          <w:rPr>
            <w:rStyle w:val="Hyperlink"/>
          </w:rPr>
          <w:t>Goog</w:t>
        </w:r>
        <w:proofErr w:type="spellEnd"/>
        <w:r w:rsidRPr="00E42633">
          <w:rPr>
            <w:rStyle w:val="Hyperlink"/>
          </w:rPr>
          <w:t>...05072025 ]</w:t>
        </w:r>
      </w:hyperlink>
    </w:p>
    <w:p w14:paraId="16195CE9" w14:textId="77777777" w:rsidR="00E42633" w:rsidRPr="00E42633" w:rsidRDefault="00000000" w:rsidP="00E42633">
      <w:r>
        <w:pict w14:anchorId="325BC812">
          <v:rect id="_x0000_i1027" style="width:0;height:1.5pt" o:hralign="center" o:hrstd="t" o:hr="t" fillcolor="#a0a0a0" stroked="f"/>
        </w:pict>
      </w:r>
    </w:p>
    <w:p w14:paraId="660E15CF" w14:textId="77777777" w:rsidR="00E42633" w:rsidRPr="00E42633" w:rsidRDefault="00E42633" w:rsidP="00E42633">
      <w:pPr>
        <w:rPr>
          <w:b/>
          <w:bCs/>
        </w:rPr>
      </w:pPr>
      <w:r w:rsidRPr="00E42633">
        <w:rPr>
          <w:b/>
          <w:bCs/>
        </w:rPr>
        <w:t>Opportunity 4: Cloud Infrastructure Modernization &amp; Analytics</w:t>
      </w:r>
    </w:p>
    <w:p w14:paraId="456784C2" w14:textId="77777777" w:rsidR="00E42633" w:rsidRPr="00E42633" w:rsidRDefault="00E42633" w:rsidP="00E42633">
      <w:r w:rsidRPr="00E42633">
        <w:rPr>
          <w:b/>
          <w:bCs/>
        </w:rPr>
        <w:t>Proposed Next Step:</w:t>
      </w:r>
      <w:r w:rsidRPr="00E42633">
        <w:t xml:space="preserve"> Extend the digital transformation to </w:t>
      </w:r>
      <w:r w:rsidRPr="00E42633">
        <w:rPr>
          <w:b/>
          <w:bCs/>
        </w:rPr>
        <w:t>cloud infrastructure and data analytics</w:t>
      </w:r>
      <w:r w:rsidRPr="00E42633">
        <w:t>. With collaboration tools unified, EMCOR can next look at modernizing other IT facets for Miller Electric and the broader group:</w:t>
      </w:r>
    </w:p>
    <w:p w14:paraId="2F5CE929" w14:textId="77777777" w:rsidR="00E42633" w:rsidRPr="00E42633" w:rsidRDefault="00E42633" w:rsidP="00E42633">
      <w:pPr>
        <w:numPr>
          <w:ilvl w:val="0"/>
          <w:numId w:val="3"/>
        </w:numPr>
      </w:pPr>
      <w:r w:rsidRPr="00E42633">
        <w:rPr>
          <w:b/>
          <w:bCs/>
        </w:rPr>
        <w:t>Azure Cloud Migration Assessment:</w:t>
      </w:r>
      <w:r w:rsidRPr="00E42633">
        <w:t xml:space="preserve"> Evaluate Miller Electric’s remaining on-premises or legacy systems (e.g., file servers, applications not covered by the M365 migration) for potential migration to Azure. This includes identifying any industrial or engineering applications that could benefit from cloud hosting.</w:t>
      </w:r>
    </w:p>
    <w:p w14:paraId="1A6985D7" w14:textId="77777777" w:rsidR="00E42633" w:rsidRPr="00E42633" w:rsidRDefault="00E42633" w:rsidP="00E42633">
      <w:pPr>
        <w:numPr>
          <w:ilvl w:val="0"/>
          <w:numId w:val="3"/>
        </w:numPr>
      </w:pPr>
      <w:r w:rsidRPr="00E42633">
        <w:rPr>
          <w:b/>
          <w:bCs/>
        </w:rPr>
        <w:t>Data Analytics &amp; Power Platform Initiative:</w:t>
      </w:r>
      <w:r w:rsidRPr="00E42633">
        <w:t xml:space="preserve"> Now that data (email, files) from Miller is in Microsoft 365, consider a project to </w:t>
      </w:r>
      <w:r w:rsidRPr="00E42633">
        <w:rPr>
          <w:b/>
          <w:bCs/>
        </w:rPr>
        <w:t>leverage that data</w:t>
      </w:r>
      <w:r w:rsidRPr="00E42633">
        <w:t xml:space="preserve"> and other operational data for insights. For example, deploying </w:t>
      </w:r>
      <w:r w:rsidRPr="00E42633">
        <w:rPr>
          <w:b/>
          <w:bCs/>
        </w:rPr>
        <w:t>Power BI dashboards</w:t>
      </w:r>
      <w:r w:rsidRPr="00E42633">
        <w:t xml:space="preserve"> that combine project management data or facilities data across EMCOR’s companies, or using </w:t>
      </w:r>
      <w:r w:rsidRPr="00E42633">
        <w:rPr>
          <w:b/>
          <w:bCs/>
        </w:rPr>
        <w:t>Power Apps/Automate</w:t>
      </w:r>
      <w:r w:rsidRPr="00E42633">
        <w:t xml:space="preserve"> to streamline field service processes that span EMCOR and Miller Electric.</w:t>
      </w:r>
    </w:p>
    <w:p w14:paraId="5D404891" w14:textId="77777777" w:rsidR="00E42633" w:rsidRPr="00E42633" w:rsidRDefault="00E42633" w:rsidP="00E42633">
      <w:pPr>
        <w:numPr>
          <w:ilvl w:val="0"/>
          <w:numId w:val="3"/>
        </w:numPr>
      </w:pPr>
      <w:r w:rsidRPr="00E42633">
        <w:rPr>
          <w:b/>
          <w:bCs/>
        </w:rPr>
        <w:t>Phase 2 Cloud Services Rollout:</w:t>
      </w:r>
      <w:r w:rsidRPr="00E42633">
        <w:t xml:space="preserve"> Plan and pilot additional Microsoft cloud services such as </w:t>
      </w:r>
      <w:r w:rsidRPr="00E42633">
        <w:rPr>
          <w:b/>
          <w:bCs/>
        </w:rPr>
        <w:t>Microsoft Viva Insights</w:t>
      </w:r>
      <w:r w:rsidRPr="00E42633">
        <w:t xml:space="preserve"> (to analyze productivity patterns) or </w:t>
      </w:r>
      <w:r w:rsidRPr="00E42633">
        <w:rPr>
          <w:b/>
          <w:bCs/>
        </w:rPr>
        <w:t>Azure IoT/AI solutions</w:t>
      </w:r>
      <w:r w:rsidRPr="00E42633">
        <w:t xml:space="preserve"> if relevant to EMCOR’s facility management operations.</w:t>
      </w:r>
    </w:p>
    <w:p w14:paraId="062CDD1D" w14:textId="77777777" w:rsidR="00E42633" w:rsidRPr="00E42633" w:rsidRDefault="00E42633" w:rsidP="00E42633">
      <w:r w:rsidRPr="00E42633">
        <w:rPr>
          <w:b/>
          <w:bCs/>
        </w:rPr>
        <w:t xml:space="preserve">Estimated Value &amp; </w:t>
      </w:r>
      <w:proofErr w:type="spellStart"/>
      <w:r w:rsidRPr="00E42633">
        <w:rPr>
          <w:b/>
          <w:bCs/>
        </w:rPr>
        <w:t>Impact:</w:t>
      </w:r>
      <w:r w:rsidRPr="00E42633">
        <w:rPr>
          <w:i/>
          <w:iCs/>
        </w:rPr>
        <w:t>Pipeline</w:t>
      </w:r>
      <w:proofErr w:type="spellEnd"/>
      <w:r w:rsidRPr="00E42633">
        <w:rPr>
          <w:i/>
          <w:iCs/>
        </w:rPr>
        <w:t xml:space="preserve"> ~$600K+</w:t>
      </w:r>
      <w:r w:rsidRPr="00E42633">
        <w:t xml:space="preserve"> (potentially broken into smaller projects). This umbrella opportunity could spawn multiple engagements:</w:t>
      </w:r>
    </w:p>
    <w:p w14:paraId="022B4D5F" w14:textId="77777777" w:rsidR="00E42633" w:rsidRPr="00E42633" w:rsidRDefault="00E42633" w:rsidP="00E42633">
      <w:pPr>
        <w:numPr>
          <w:ilvl w:val="0"/>
          <w:numId w:val="4"/>
        </w:numPr>
      </w:pPr>
      <w:r w:rsidRPr="00E42633">
        <w:t>An Azure migration POC (e.g., migrate a Miller Electric application or set up a hybrid cloud environment) might be ~$200K.</w:t>
      </w:r>
    </w:p>
    <w:p w14:paraId="5243F2F4" w14:textId="77777777" w:rsidR="00E42633" w:rsidRPr="00E42633" w:rsidRDefault="00E42633" w:rsidP="00E42633">
      <w:pPr>
        <w:numPr>
          <w:ilvl w:val="0"/>
          <w:numId w:val="4"/>
        </w:numPr>
      </w:pPr>
      <w:r w:rsidRPr="00E42633">
        <w:t>A data analytics project to build BI reports or a custom Power App could be another ~$150K.</w:t>
      </w:r>
    </w:p>
    <w:p w14:paraId="13CC5263" w14:textId="77777777" w:rsidR="00E42633" w:rsidRPr="00E42633" w:rsidRDefault="00E42633" w:rsidP="00E42633">
      <w:pPr>
        <w:numPr>
          <w:ilvl w:val="0"/>
          <w:numId w:val="4"/>
        </w:numPr>
      </w:pPr>
      <w:r w:rsidRPr="00E42633">
        <w:t xml:space="preserve">Further cloud service implementations (Viva, IoT advisory) add additional value. The business impact is to </w:t>
      </w:r>
      <w:r w:rsidRPr="00E42633">
        <w:rPr>
          <w:b/>
          <w:bCs/>
        </w:rPr>
        <w:t>drive innovation and efficiency</w:t>
      </w:r>
      <w:r w:rsidRPr="00E42633">
        <w:t xml:space="preserve"> using the cloud. For instance, if EMCOR can consolidate data from its various subsidiaries, it might identify cost savings or new business opportunities (imagine analyzing energy usage across facilities, a service EMCOR provides, for optimization). From a relationship perspective, these projects will directly increase </w:t>
      </w:r>
      <w:r w:rsidRPr="00E42633">
        <w:rPr>
          <w:b/>
          <w:bCs/>
        </w:rPr>
        <w:t>Azure Consumed Revenue</w:t>
      </w:r>
      <w:r w:rsidRPr="00E42633">
        <w:t xml:space="preserve"> (through Azure infrastructure services) in addition to expanding M365 service usage – aligning with Microsoft’s goals for broader cloud adoption in the account.</w:t>
      </w:r>
    </w:p>
    <w:p w14:paraId="20815EFB" w14:textId="77777777" w:rsidR="00E42633" w:rsidRPr="00E42633" w:rsidRDefault="00E42633" w:rsidP="00E42633">
      <w:r w:rsidRPr="00E42633">
        <w:rPr>
          <w:b/>
          <w:bCs/>
        </w:rPr>
        <w:t>Suggested Timing &amp; Engagement Model:</w:t>
      </w:r>
      <w:r w:rsidRPr="00E42633">
        <w:t xml:space="preserve"> This is somewhat a </w:t>
      </w:r>
      <w:r w:rsidRPr="00E42633">
        <w:rPr>
          <w:b/>
          <w:bCs/>
        </w:rPr>
        <w:t>strategic initiative</w:t>
      </w:r>
      <w:r w:rsidRPr="00E42633">
        <w:t xml:space="preserve"> – it can be proposed once the core integration is stable (perhaps Q2 or Q3 FY26). A logical sequence is to start with the </w:t>
      </w:r>
      <w:r w:rsidRPr="00E42633">
        <w:rPr>
          <w:b/>
          <w:bCs/>
        </w:rPr>
        <w:t>Azure Migration Assessment</w:t>
      </w:r>
      <w:r w:rsidRPr="00E42633">
        <w:t xml:space="preserve"> (</w:t>
      </w:r>
      <w:proofErr w:type="gramStart"/>
      <w:r w:rsidRPr="00E42633">
        <w:t>4-6 week</w:t>
      </w:r>
      <w:proofErr w:type="gramEnd"/>
      <w:r w:rsidRPr="00E42633">
        <w:t xml:space="preserve"> consulting engagement to inventory and </w:t>
      </w:r>
      <w:proofErr w:type="gramStart"/>
      <w:r w:rsidRPr="00E42633">
        <w:t>recommend</w:t>
      </w:r>
      <w:proofErr w:type="gramEnd"/>
      <w:r w:rsidRPr="00E42633">
        <w:t xml:space="preserve">), followed by implementation phases. In parallel or afterward, kick off the </w:t>
      </w:r>
      <w:r w:rsidRPr="00E42633">
        <w:rPr>
          <w:b/>
          <w:bCs/>
        </w:rPr>
        <w:t>Power BI/Power Platform project</w:t>
      </w:r>
      <w:r w:rsidRPr="00E42633">
        <w:t xml:space="preserve"> with a small team of data engineers and business analysts for ~8 weeks focusing on a use case important to EMCOR (for example, cross-company financial reporting or safety incident tracking automation). The model should be iterative and collaborative, showing quick wins (like a dashboard prototype) to get EMCOR leadership buy-in, then expanding.</w:t>
      </w:r>
    </w:p>
    <w:p w14:paraId="1E2593CF" w14:textId="77777777" w:rsidR="00E42633" w:rsidRPr="00E42633" w:rsidRDefault="00E42633" w:rsidP="00E42633">
      <w:proofErr w:type="spellStart"/>
      <w:r w:rsidRPr="00E42633">
        <w:rPr>
          <w:b/>
          <w:bCs/>
        </w:rPr>
        <w:t>Rationale:</w:t>
      </w:r>
      <w:r w:rsidRPr="00E42633">
        <w:rPr>
          <w:i/>
          <w:iCs/>
        </w:rPr>
        <w:t>Why</w:t>
      </w:r>
      <w:proofErr w:type="spellEnd"/>
      <w:r w:rsidRPr="00E42633">
        <w:rPr>
          <w:i/>
          <w:iCs/>
        </w:rPr>
        <w:t xml:space="preserve"> align with EMCOR’s needs?</w:t>
      </w:r>
      <w:r w:rsidRPr="00E42633">
        <w:t xml:space="preserve"> With a </w:t>
      </w:r>
      <w:r w:rsidRPr="00E42633">
        <w:rPr>
          <w:b/>
          <w:bCs/>
        </w:rPr>
        <w:t>$14.6B revenue</w:t>
      </w:r>
      <w:r w:rsidRPr="00E42633">
        <w:t xml:space="preserve"> enterprise spread across many operations, EMCOR’s competitive edge comes from efficiency and insight. Now that the Miller Electric merger is bringing IT assets together, it’s an opportune moment to propose leveraging the </w:t>
      </w:r>
      <w:r w:rsidRPr="00E42633">
        <w:rPr>
          <w:b/>
          <w:bCs/>
        </w:rPr>
        <w:t>cloud beyond email</w:t>
      </w:r>
      <w:r w:rsidRPr="00E42633">
        <w:t xml:space="preserve">. The current SOW was focused on IT integration (accounts, files, mail), but it intentionally did not encompass broader cloud workloads or business data analytics. EMCOR likely has siloed data and apps – this NSP aims to break silos and unlock value. It strongly reinforces Microsoft’s value proposition: not only can we integrate your IT (step 1), but we can also </w:t>
      </w:r>
      <w:r w:rsidRPr="00E42633">
        <w:rPr>
          <w:b/>
          <w:bCs/>
        </w:rPr>
        <w:t>innovate your IT and business (step 2)</w:t>
      </w:r>
      <w:r w:rsidRPr="00E42633">
        <w:t xml:space="preserve">. By tying the proposal to tangible outcomes (e.g., “enable Miller’s field engineers to access centralized data via a Power App, improving response times by X%”), we connect the technology to EMCOR’s core business of servicing facilities. This deepens Microsoft’s role from an IT vendor to a </w:t>
      </w:r>
      <w:r w:rsidRPr="00E42633">
        <w:rPr>
          <w:b/>
          <w:bCs/>
        </w:rPr>
        <w:t>digital transformation partner</w:t>
      </w:r>
      <w:r w:rsidRPr="00E42633">
        <w:t xml:space="preserve">, driving long-term cloud consumption and potentially setting the stage for even larger projects (like IoT implementations in facility management, given EMCOR’s industry). </w:t>
      </w:r>
      <w:hyperlink r:id="rId14" w:history="1">
        <w:r w:rsidRPr="00E42633">
          <w:rPr>
            <w:rStyle w:val="Hyperlink"/>
          </w:rPr>
          <w:t xml:space="preserve">[EMCOR </w:t>
        </w:r>
        <w:proofErr w:type="spellStart"/>
        <w:r w:rsidRPr="00E42633">
          <w:rPr>
            <w:rStyle w:val="Hyperlink"/>
          </w:rPr>
          <w:t>Grou</w:t>
        </w:r>
        <w:proofErr w:type="spellEnd"/>
        <w:r w:rsidRPr="00E42633">
          <w:rPr>
            <w:rStyle w:val="Hyperlink"/>
          </w:rPr>
          <w:t>...</w:t>
        </w:r>
        <w:proofErr w:type="spellStart"/>
        <w:r w:rsidRPr="00E42633">
          <w:rPr>
            <w:rStyle w:val="Hyperlink"/>
          </w:rPr>
          <w:t>lities</w:t>
        </w:r>
        <w:proofErr w:type="spellEnd"/>
        <w:r w:rsidRPr="00E42633">
          <w:rPr>
            <w:rStyle w:val="Hyperlink"/>
          </w:rPr>
          <w:t xml:space="preserve"> ...]</w:t>
        </w:r>
      </w:hyperlink>
      <w:r w:rsidRPr="00E42633">
        <w:t xml:space="preserve"> </w:t>
      </w:r>
      <w:hyperlink r:id="rId15" w:history="1">
        <w:r w:rsidRPr="00E42633">
          <w:rPr>
            <w:rStyle w:val="Hyperlink"/>
          </w:rPr>
          <w:t xml:space="preserve">[EMCOR </w:t>
        </w:r>
        <w:proofErr w:type="spellStart"/>
        <w:r w:rsidRPr="00E42633">
          <w:rPr>
            <w:rStyle w:val="Hyperlink"/>
          </w:rPr>
          <w:t>Goog</w:t>
        </w:r>
        <w:proofErr w:type="spellEnd"/>
        <w:r w:rsidRPr="00E42633">
          <w:rPr>
            <w:rStyle w:val="Hyperlink"/>
          </w:rPr>
          <w:t>...05072025 ]</w:t>
        </w:r>
      </w:hyperlink>
    </w:p>
    <w:p w14:paraId="22A430C3" w14:textId="77777777" w:rsidR="00E42633" w:rsidRPr="00E42633" w:rsidRDefault="00000000" w:rsidP="00E42633">
      <w:r>
        <w:pict w14:anchorId="0617185C">
          <v:rect id="_x0000_i1028" style="width:0;height:1.5pt" o:hralign="center" o:hrstd="t" o:hr="t" fillcolor="#a0a0a0" stroked="f"/>
        </w:pict>
      </w:r>
    </w:p>
    <w:p w14:paraId="0FEF6409" w14:textId="77777777" w:rsidR="00E42633" w:rsidRPr="00E42633" w:rsidRDefault="00E42633" w:rsidP="00E42633">
      <w:pPr>
        <w:rPr>
          <w:b/>
          <w:bCs/>
        </w:rPr>
      </w:pPr>
      <w:r w:rsidRPr="00E42633">
        <w:rPr>
          <w:b/>
          <w:bCs/>
        </w:rPr>
        <w:t>Conclusion and Next Steps</w:t>
      </w:r>
    </w:p>
    <w:p w14:paraId="6DDD73C6" w14:textId="77777777" w:rsidR="00E42633" w:rsidRPr="00E42633" w:rsidRDefault="00E42633" w:rsidP="00E42633">
      <w:r w:rsidRPr="00E42633">
        <w:t>Each of the above opportunities directly builds on the current engagement’s foundation and EMCOR’s stated goals:</w:t>
      </w:r>
    </w:p>
    <w:p w14:paraId="63AF7035" w14:textId="77777777" w:rsidR="00E42633" w:rsidRPr="00E42633" w:rsidRDefault="00E42633" w:rsidP="00E42633">
      <w:pPr>
        <w:numPr>
          <w:ilvl w:val="0"/>
          <w:numId w:val="5"/>
        </w:numPr>
      </w:pPr>
      <w:r w:rsidRPr="00E42633">
        <w:rPr>
          <w:b/>
          <w:bCs/>
        </w:rPr>
        <w:t>Employee Experience &amp; Adoption</w:t>
      </w:r>
      <w:r w:rsidRPr="00E42633">
        <w:t xml:space="preserve"> ensures the </w:t>
      </w:r>
      <w:r w:rsidRPr="00E42633">
        <w:rPr>
          <w:i/>
          <w:iCs/>
        </w:rPr>
        <w:t>“unified platform”</w:t>
      </w:r>
      <w:r w:rsidRPr="00E42633">
        <w:t xml:space="preserve"> truly delivers seamless collaboration. </w:t>
      </w:r>
      <w:hyperlink r:id="rId16" w:history="1">
        <w:r w:rsidRPr="00E42633">
          <w:rPr>
            <w:rStyle w:val="Hyperlink"/>
          </w:rPr>
          <w:t xml:space="preserve">[EMCOR </w:t>
        </w:r>
        <w:proofErr w:type="spellStart"/>
        <w:r w:rsidRPr="00E42633">
          <w:rPr>
            <w:rStyle w:val="Hyperlink"/>
          </w:rPr>
          <w:t>Goog</w:t>
        </w:r>
        <w:proofErr w:type="spellEnd"/>
        <w:r w:rsidRPr="00E42633">
          <w:rPr>
            <w:rStyle w:val="Hyperlink"/>
          </w:rPr>
          <w:t>...05072025 ]</w:t>
        </w:r>
      </w:hyperlink>
    </w:p>
    <w:p w14:paraId="5C709611" w14:textId="77777777" w:rsidR="00E42633" w:rsidRPr="00E42633" w:rsidRDefault="00E42633" w:rsidP="00E42633">
      <w:pPr>
        <w:numPr>
          <w:ilvl w:val="0"/>
          <w:numId w:val="5"/>
        </w:numPr>
      </w:pPr>
      <w:r w:rsidRPr="00E42633">
        <w:rPr>
          <w:b/>
          <w:bCs/>
        </w:rPr>
        <w:t>Security Optimization</w:t>
      </w:r>
      <w:r w:rsidRPr="00E42633">
        <w:t xml:space="preserve"> safeguards that platform, aligning with EMCOR’s focus on protecting critical systems. </w:t>
      </w:r>
      <w:hyperlink r:id="rId17" w:history="1">
        <w:r w:rsidRPr="00E42633">
          <w:rPr>
            <w:rStyle w:val="Hyperlink"/>
          </w:rPr>
          <w:t xml:space="preserve">[EMCOR </w:t>
        </w:r>
        <w:proofErr w:type="spellStart"/>
        <w:r w:rsidRPr="00E42633">
          <w:rPr>
            <w:rStyle w:val="Hyperlink"/>
          </w:rPr>
          <w:t>Grou</w:t>
        </w:r>
        <w:proofErr w:type="spellEnd"/>
        <w:r w:rsidRPr="00E42633">
          <w:rPr>
            <w:rStyle w:val="Hyperlink"/>
          </w:rPr>
          <w:t>...</w:t>
        </w:r>
        <w:proofErr w:type="spellStart"/>
        <w:r w:rsidRPr="00E42633">
          <w:rPr>
            <w:rStyle w:val="Hyperlink"/>
          </w:rPr>
          <w:t>lities</w:t>
        </w:r>
        <w:proofErr w:type="spellEnd"/>
        <w:r w:rsidRPr="00E42633">
          <w:rPr>
            <w:rStyle w:val="Hyperlink"/>
          </w:rPr>
          <w:t xml:space="preserve"> ...]</w:t>
        </w:r>
      </w:hyperlink>
    </w:p>
    <w:p w14:paraId="6639EAD5" w14:textId="77777777" w:rsidR="00E42633" w:rsidRPr="00E42633" w:rsidRDefault="00E42633" w:rsidP="00E42633">
      <w:pPr>
        <w:numPr>
          <w:ilvl w:val="0"/>
          <w:numId w:val="5"/>
        </w:numPr>
      </w:pPr>
      <w:r w:rsidRPr="00E42633">
        <w:rPr>
          <w:b/>
          <w:bCs/>
        </w:rPr>
        <w:t>M&amp;A Integration Framework</w:t>
      </w:r>
      <w:r w:rsidRPr="00E42633">
        <w:t xml:space="preserve"> supports EMCOR’s growth strategy by making future IT mergers faster and repeatable.</w:t>
      </w:r>
    </w:p>
    <w:p w14:paraId="56F2D35B" w14:textId="77777777" w:rsidR="00E42633" w:rsidRPr="00E42633" w:rsidRDefault="00E42633" w:rsidP="00E42633">
      <w:pPr>
        <w:numPr>
          <w:ilvl w:val="0"/>
          <w:numId w:val="5"/>
        </w:numPr>
      </w:pPr>
      <w:r w:rsidRPr="00E42633">
        <w:rPr>
          <w:b/>
          <w:bCs/>
        </w:rPr>
        <w:t>Cloud Modernization &amp; Analytics</w:t>
      </w:r>
      <w:r w:rsidRPr="00E42633">
        <w:t xml:space="preserve"> drives innovation and additional ROI from the integration.</w:t>
      </w:r>
    </w:p>
    <w:p w14:paraId="3CA32C11" w14:textId="77777777" w:rsidR="00E42633" w:rsidRPr="00E42633" w:rsidRDefault="00E42633" w:rsidP="00E42633">
      <w:r w:rsidRPr="00E42633">
        <w:t>By pursuing these Next Step Proposals, EMCOR can accelerate benefits realization from the Miller Electric acquisition and set a precedent for technology-driven improvements across its businesses. For Microsoft, these proposals represent incremental consulting revenue (estimated ~$1.8M+ total pipeline) and deeper strategic engagement with a Fortune 500 client, as well as potential increase in cloud consumption (both M365 and Azure).</w:t>
      </w:r>
    </w:p>
    <w:p w14:paraId="5ADE5221" w14:textId="77777777" w:rsidR="00E42633" w:rsidRPr="00E42633" w:rsidRDefault="00E42633" w:rsidP="00E42633">
      <w:r w:rsidRPr="00E42633">
        <w:rPr>
          <w:b/>
          <w:bCs/>
        </w:rPr>
        <w:t>Recommended Next Step:</w:t>
      </w:r>
      <w:r w:rsidRPr="00E42633">
        <w:t xml:space="preserve"> Present this NSP portfolio in an executive post-mortem of the Miller Electric migration (targeting EMCOR’s CIO and stakeholders) to demonstrate how we can continue partnering in FY26. Prioritize Opportunity 1 and 2 for immediate discussion (as they address near-term needs), while positioning 3 and 4 as medium-term initiatives aligned with EMCOR’s digital roadmap. By taking this proactive approach, we help EMCOR achieve a </w:t>
      </w:r>
      <w:r w:rsidRPr="00E42633">
        <w:rPr>
          <w:b/>
          <w:bCs/>
        </w:rPr>
        <w:t>smooth, secure integration now and pave the way for ongoing digital transformation</w:t>
      </w:r>
      <w:r w:rsidRPr="00E42633">
        <w:t>, fulfilling the spirit of “Next Step Proposal” as a bridge from successful delivery to new possibilities</w:t>
      </w:r>
    </w:p>
    <w:p w14:paraId="377EF8C3" w14:textId="77777777" w:rsidR="00E42633" w:rsidRDefault="00E42633"/>
    <w:p w14:paraId="094F220D" w14:textId="06F1B09C" w:rsidR="00474596" w:rsidRPr="00474596" w:rsidRDefault="00474596">
      <w:pPr>
        <w:rPr>
          <w:b/>
          <w:bCs/>
        </w:rPr>
      </w:pPr>
      <w:r w:rsidRPr="00474596">
        <w:rPr>
          <w:b/>
          <w:bCs/>
        </w:rPr>
        <w:t>Next Steps:</w:t>
      </w:r>
    </w:p>
    <w:p w14:paraId="04D337BD" w14:textId="77777777" w:rsidR="00474596" w:rsidRDefault="00474596"/>
    <w:sectPr w:rsidR="0047459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6D007E"/>
    <w:multiLevelType w:val="multilevel"/>
    <w:tmpl w:val="0D6897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99F0E71"/>
    <w:multiLevelType w:val="multilevel"/>
    <w:tmpl w:val="4D72A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12C5E9B"/>
    <w:multiLevelType w:val="hybridMultilevel"/>
    <w:tmpl w:val="799E3C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1BD0EF0"/>
    <w:multiLevelType w:val="multilevel"/>
    <w:tmpl w:val="72BE4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5564F88"/>
    <w:multiLevelType w:val="multilevel"/>
    <w:tmpl w:val="B25AD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EC551B6"/>
    <w:multiLevelType w:val="multilevel"/>
    <w:tmpl w:val="191EE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2C52EAD"/>
    <w:multiLevelType w:val="multilevel"/>
    <w:tmpl w:val="D8EA1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DD94636"/>
    <w:multiLevelType w:val="hybridMultilevel"/>
    <w:tmpl w:val="5784BC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76414948">
    <w:abstractNumId w:val="3"/>
  </w:num>
  <w:num w:numId="2" w16cid:durableId="217983537">
    <w:abstractNumId w:val="5"/>
  </w:num>
  <w:num w:numId="3" w16cid:durableId="1675837453">
    <w:abstractNumId w:val="1"/>
  </w:num>
  <w:num w:numId="4" w16cid:durableId="1877769740">
    <w:abstractNumId w:val="6"/>
  </w:num>
  <w:num w:numId="5" w16cid:durableId="1959414391">
    <w:abstractNumId w:val="4"/>
  </w:num>
  <w:num w:numId="6" w16cid:durableId="576138255">
    <w:abstractNumId w:val="7"/>
  </w:num>
  <w:num w:numId="7" w16cid:durableId="2026518813">
    <w:abstractNumId w:val="2"/>
  </w:num>
  <w:num w:numId="8" w16cid:durableId="4020287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2633"/>
    <w:rsid w:val="00051AE8"/>
    <w:rsid w:val="0007118D"/>
    <w:rsid w:val="000A6240"/>
    <w:rsid w:val="000E47EA"/>
    <w:rsid w:val="000E675E"/>
    <w:rsid w:val="001B370B"/>
    <w:rsid w:val="001D0350"/>
    <w:rsid w:val="001D4385"/>
    <w:rsid w:val="001F12F4"/>
    <w:rsid w:val="00221F53"/>
    <w:rsid w:val="002A4EB0"/>
    <w:rsid w:val="002A54DC"/>
    <w:rsid w:val="002C59BF"/>
    <w:rsid w:val="0038415E"/>
    <w:rsid w:val="003D0E45"/>
    <w:rsid w:val="003D519F"/>
    <w:rsid w:val="003E45CC"/>
    <w:rsid w:val="003E5C94"/>
    <w:rsid w:val="003E627B"/>
    <w:rsid w:val="00431260"/>
    <w:rsid w:val="00463D32"/>
    <w:rsid w:val="00474596"/>
    <w:rsid w:val="004E74A6"/>
    <w:rsid w:val="005526ED"/>
    <w:rsid w:val="005B1038"/>
    <w:rsid w:val="005D6D00"/>
    <w:rsid w:val="005F549C"/>
    <w:rsid w:val="00683D17"/>
    <w:rsid w:val="0068489D"/>
    <w:rsid w:val="006C3C1A"/>
    <w:rsid w:val="007405FC"/>
    <w:rsid w:val="00783AE8"/>
    <w:rsid w:val="007F3BD8"/>
    <w:rsid w:val="008876D9"/>
    <w:rsid w:val="008B1264"/>
    <w:rsid w:val="008E7592"/>
    <w:rsid w:val="009028D1"/>
    <w:rsid w:val="00967E16"/>
    <w:rsid w:val="009848CF"/>
    <w:rsid w:val="00993794"/>
    <w:rsid w:val="009A40B8"/>
    <w:rsid w:val="00A15DF5"/>
    <w:rsid w:val="00A27A49"/>
    <w:rsid w:val="00A83802"/>
    <w:rsid w:val="00AD1E4D"/>
    <w:rsid w:val="00BA400B"/>
    <w:rsid w:val="00BF202A"/>
    <w:rsid w:val="00C87002"/>
    <w:rsid w:val="00D0615F"/>
    <w:rsid w:val="00D73BE4"/>
    <w:rsid w:val="00DA111A"/>
    <w:rsid w:val="00DA1921"/>
    <w:rsid w:val="00DA4E53"/>
    <w:rsid w:val="00DC01FD"/>
    <w:rsid w:val="00E42633"/>
    <w:rsid w:val="00EA0B75"/>
    <w:rsid w:val="00EC4C6C"/>
    <w:rsid w:val="00F243FC"/>
    <w:rsid w:val="00F323B1"/>
    <w:rsid w:val="00F67A95"/>
    <w:rsid w:val="019411B1"/>
    <w:rsid w:val="35D5BADF"/>
    <w:rsid w:val="5FE1EA0B"/>
    <w:rsid w:val="6296FAF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13C843"/>
  <w15:chartTrackingRefBased/>
  <w15:docId w15:val="{CA655AA9-4B85-4349-A379-A5224634D1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4263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4263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4263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4263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4263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426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26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26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26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263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4263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4263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4263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4263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426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26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26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2633"/>
    <w:rPr>
      <w:rFonts w:eastAsiaTheme="majorEastAsia" w:cstheme="majorBidi"/>
      <w:color w:val="272727" w:themeColor="text1" w:themeTint="D8"/>
    </w:rPr>
  </w:style>
  <w:style w:type="paragraph" w:styleId="Title">
    <w:name w:val="Title"/>
    <w:basedOn w:val="Normal"/>
    <w:next w:val="Normal"/>
    <w:link w:val="TitleChar"/>
    <w:uiPriority w:val="10"/>
    <w:qFormat/>
    <w:rsid w:val="00E426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26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26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26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2633"/>
    <w:pPr>
      <w:spacing w:before="160"/>
      <w:jc w:val="center"/>
    </w:pPr>
    <w:rPr>
      <w:i/>
      <w:iCs/>
      <w:color w:val="404040" w:themeColor="text1" w:themeTint="BF"/>
    </w:rPr>
  </w:style>
  <w:style w:type="character" w:customStyle="1" w:styleId="QuoteChar">
    <w:name w:val="Quote Char"/>
    <w:basedOn w:val="DefaultParagraphFont"/>
    <w:link w:val="Quote"/>
    <w:uiPriority w:val="29"/>
    <w:rsid w:val="00E42633"/>
    <w:rPr>
      <w:i/>
      <w:iCs/>
      <w:color w:val="404040" w:themeColor="text1" w:themeTint="BF"/>
    </w:rPr>
  </w:style>
  <w:style w:type="paragraph" w:styleId="ListParagraph">
    <w:name w:val="List Paragraph"/>
    <w:basedOn w:val="Normal"/>
    <w:uiPriority w:val="34"/>
    <w:qFormat/>
    <w:rsid w:val="00E42633"/>
    <w:pPr>
      <w:ind w:left="720"/>
      <w:contextualSpacing/>
    </w:pPr>
  </w:style>
  <w:style w:type="character" w:styleId="IntenseEmphasis">
    <w:name w:val="Intense Emphasis"/>
    <w:basedOn w:val="DefaultParagraphFont"/>
    <w:uiPriority w:val="21"/>
    <w:qFormat/>
    <w:rsid w:val="00E42633"/>
    <w:rPr>
      <w:i/>
      <w:iCs/>
      <w:color w:val="0F4761" w:themeColor="accent1" w:themeShade="BF"/>
    </w:rPr>
  </w:style>
  <w:style w:type="paragraph" w:styleId="IntenseQuote">
    <w:name w:val="Intense Quote"/>
    <w:basedOn w:val="Normal"/>
    <w:next w:val="Normal"/>
    <w:link w:val="IntenseQuoteChar"/>
    <w:uiPriority w:val="30"/>
    <w:qFormat/>
    <w:rsid w:val="00E426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42633"/>
    <w:rPr>
      <w:i/>
      <w:iCs/>
      <w:color w:val="0F4761" w:themeColor="accent1" w:themeShade="BF"/>
    </w:rPr>
  </w:style>
  <w:style w:type="character" w:styleId="IntenseReference">
    <w:name w:val="Intense Reference"/>
    <w:basedOn w:val="DefaultParagraphFont"/>
    <w:uiPriority w:val="32"/>
    <w:qFormat/>
    <w:rsid w:val="00E42633"/>
    <w:rPr>
      <w:b/>
      <w:bCs/>
      <w:smallCaps/>
      <w:color w:val="0F4761" w:themeColor="accent1" w:themeShade="BF"/>
      <w:spacing w:val="5"/>
    </w:rPr>
  </w:style>
  <w:style w:type="character" w:styleId="Hyperlink">
    <w:name w:val="Hyperlink"/>
    <w:basedOn w:val="DefaultParagraphFont"/>
    <w:uiPriority w:val="99"/>
    <w:unhideWhenUsed/>
    <w:rsid w:val="00E42633"/>
    <w:rPr>
      <w:color w:val="467886" w:themeColor="hyperlink"/>
      <w:u w:val="single"/>
    </w:rPr>
  </w:style>
  <w:style w:type="character" w:styleId="UnresolvedMention">
    <w:name w:val="Unresolved Mention"/>
    <w:basedOn w:val="DefaultParagraphFont"/>
    <w:uiPriority w:val="99"/>
    <w:semiHidden/>
    <w:unhideWhenUsed/>
    <w:rsid w:val="00E4263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microsoftapc-my.sharepoint.com/personal/amjadn_microsoft_com/Documents/EMCOR%20GoogleToM365%20SOW%20ISD%20V2%20-%20EMCOR%20Updates%2005072025%20.pdf?web=1" TargetMode="External"/><Relationship Id="rId13" Type="http://schemas.openxmlformats.org/officeDocument/2006/relationships/hyperlink" Target="https://microsoftapc-my.sharepoint.com/personal/amjadn_microsoft_com/Documents/EMCOR%20GoogleToM365%20SOW%20ISD%20V2%20-%20EMCOR%20Updates%2005072025%20.pdf?web=1"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microsoftapc-my.sharepoint.com/personal/amjadn_microsoft_com/Documents/EMCOR%20GoogleToM365%20SOW%20ISD%20V2%20-%20EMCOR%20Updates%2005072025%20.pdf?web=1" TargetMode="External"/><Relationship Id="rId12" Type="http://schemas.openxmlformats.org/officeDocument/2006/relationships/hyperlink" Target="https://emcorgroup.com/about-us" TargetMode="External"/><Relationship Id="rId17" Type="http://schemas.openxmlformats.org/officeDocument/2006/relationships/hyperlink" Target="https://emcorgroup.com/about-us" TargetMode="External"/><Relationship Id="rId2" Type="http://schemas.openxmlformats.org/officeDocument/2006/relationships/numbering" Target="numbering.xml"/><Relationship Id="rId16" Type="http://schemas.openxmlformats.org/officeDocument/2006/relationships/hyperlink" Target="https://microsoftapc-my.sharepoint.com/personal/amjadn_microsoft_com/Documents/EMCOR%20GoogleToM365%20SOW%20ISD%20V2%20-%20EMCOR%20Updates%2005072025%20.pdf?web=1" TargetMode="External"/><Relationship Id="rId1" Type="http://schemas.openxmlformats.org/officeDocument/2006/relationships/customXml" Target="../customXml/item1.xml"/><Relationship Id="rId6" Type="http://schemas.openxmlformats.org/officeDocument/2006/relationships/hyperlink" Target="https://emcorgroup.com/" TargetMode="External"/><Relationship Id="rId11" Type="http://schemas.openxmlformats.org/officeDocument/2006/relationships/hyperlink" Target="https://emcorgroup.com/about-us" TargetMode="External"/><Relationship Id="rId5" Type="http://schemas.openxmlformats.org/officeDocument/2006/relationships/webSettings" Target="webSettings.xml"/><Relationship Id="rId15" Type="http://schemas.openxmlformats.org/officeDocument/2006/relationships/hyperlink" Target="https://microsoftapc-my.sharepoint.com/personal/amjadn_microsoft_com/Documents/EMCOR%20GoogleToM365%20SOW%20ISD%20V2%20-%20EMCOR%20Updates%2005072025%20.pdf?web=1" TargetMode="External"/><Relationship Id="rId10" Type="http://schemas.openxmlformats.org/officeDocument/2006/relationships/hyperlink" Target="https://microsoftapc-my.sharepoint.com/personal/amjadn_microsoft_com/Documents/EMCOR%20GoogleToM365%20SOW%20ISD%20V2%20-%20EMCOR%20Updates%2005072025%20.pdf?web=1"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microsoftapc-my.sharepoint.com/personal/amjadn_microsoft_com/Documents/EMCOR%20GoogleToM365%20SOW%20ISD%20V2%20-%20EMCOR%20Updates%2005072025%20.pdf?web=1" TargetMode="External"/><Relationship Id="rId14" Type="http://schemas.openxmlformats.org/officeDocument/2006/relationships/hyperlink" Target="https://emcorgroup.com/about-u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90F5E2-45C2-4677-81FB-B6CF533E6172}">
  <ds:schemaRefs>
    <ds:schemaRef ds:uri="http://schemas.openxmlformats.org/officeDocument/2006/bibliography"/>
  </ds:schemaRefs>
</ds:datastoreItem>
</file>

<file path=docMetadata/LabelInfo.xml><?xml version="1.0" encoding="utf-8"?>
<clbl:labelList xmlns:clbl="http://schemas.microsoft.com/office/2020/mipLabelMetadata">
  <clbl:label id="{f42aa342-8706-4288-bd11-ebb85995028c}" enabled="1" method="Privileged" siteId="{72f988bf-86f1-41af-91ab-2d7cd011db47}" removed="0"/>
</clbl:labelList>
</file>

<file path=docProps/app.xml><?xml version="1.0" encoding="utf-8"?>
<Properties xmlns="http://schemas.openxmlformats.org/officeDocument/2006/extended-properties" xmlns:vt="http://schemas.openxmlformats.org/officeDocument/2006/docPropsVTypes">
  <Template>Normal.dotm</Template>
  <TotalTime>2</TotalTime>
  <Pages>9</Pages>
  <Words>2709</Words>
  <Characters>16875</Characters>
  <Application>Microsoft Office Word</Application>
  <DocSecurity>0</DocSecurity>
  <Lines>284</Lines>
  <Paragraphs>89</Paragraphs>
  <ScaleCrop>false</ScaleCrop>
  <Company/>
  <LinksUpToDate>false</LinksUpToDate>
  <CharactersWithSpaces>19540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Amjad Nawaz</dc:creator>
  <cp:keywords/>
  <dc:description/>
  <cp:lastModifiedBy>Amjad Nawaz</cp:lastModifiedBy>
  <cp:revision>46</cp:revision>
  <dcterms:created xsi:type="dcterms:W3CDTF">2025-09-10T06:04:00Z</dcterms:created>
  <dcterms:modified xsi:type="dcterms:W3CDTF">2026-02-05T19:22:00Z</dcterms:modified>
</cp:coreProperties>
</file>