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C41D7C"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987035" w:history="1">
            <w:r w:rsidR="00C41D7C" w:rsidRPr="00EA3EAD">
              <w:rPr>
                <w:rStyle w:val="Hipervnculo"/>
                <w:noProof/>
              </w:rPr>
              <w:t>1.</w:t>
            </w:r>
            <w:r w:rsidR="00C41D7C">
              <w:rPr>
                <w:rFonts w:asciiTheme="minorHAnsi" w:eastAsiaTheme="minorEastAsia" w:hAnsiTheme="minorHAnsi" w:cstheme="minorBidi"/>
                <w:noProof/>
                <w:sz w:val="22"/>
                <w:szCs w:val="22"/>
                <w:lang w:eastAsia="es-PE"/>
              </w:rPr>
              <w:tab/>
            </w:r>
            <w:r w:rsidR="00C41D7C" w:rsidRPr="00EA3EAD">
              <w:rPr>
                <w:rStyle w:val="Hipervnculo"/>
                <w:noProof/>
              </w:rPr>
              <w:t>INTRODUCCION</w:t>
            </w:r>
            <w:r w:rsidR="00C41D7C">
              <w:rPr>
                <w:noProof/>
                <w:webHidden/>
              </w:rPr>
              <w:tab/>
            </w:r>
            <w:r w:rsidR="00C41D7C">
              <w:rPr>
                <w:noProof/>
                <w:webHidden/>
              </w:rPr>
              <w:fldChar w:fldCharType="begin"/>
            </w:r>
            <w:r w:rsidR="00C41D7C">
              <w:rPr>
                <w:noProof/>
                <w:webHidden/>
              </w:rPr>
              <w:instrText xml:space="preserve"> PAGEREF _Toc430987035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6" w:history="1">
            <w:r w:rsidR="00C41D7C" w:rsidRPr="00EA3EAD">
              <w:rPr>
                <w:rStyle w:val="Hipervnculo"/>
                <w:noProof/>
              </w:rPr>
              <w:t>1.1.</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PROPOSITO</w:t>
            </w:r>
            <w:r w:rsidR="00C41D7C">
              <w:rPr>
                <w:noProof/>
                <w:webHidden/>
              </w:rPr>
              <w:tab/>
            </w:r>
            <w:r w:rsidR="00C41D7C">
              <w:rPr>
                <w:noProof/>
                <w:webHidden/>
              </w:rPr>
              <w:fldChar w:fldCharType="begin"/>
            </w:r>
            <w:r w:rsidR="00C41D7C">
              <w:rPr>
                <w:noProof/>
                <w:webHidden/>
              </w:rPr>
              <w:instrText xml:space="preserve"> PAGEREF _Toc430987036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7" w:history="1">
            <w:r w:rsidR="00C41D7C" w:rsidRPr="00EA3EAD">
              <w:rPr>
                <w:rStyle w:val="Hipervnculo"/>
                <w:noProof/>
                <w:lang w:val="en-US"/>
              </w:rPr>
              <w:t>1.2.</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APLICABILIDAD</w:t>
            </w:r>
            <w:r w:rsidR="00C41D7C">
              <w:rPr>
                <w:noProof/>
                <w:webHidden/>
              </w:rPr>
              <w:tab/>
            </w:r>
            <w:r w:rsidR="00C41D7C">
              <w:rPr>
                <w:noProof/>
                <w:webHidden/>
              </w:rPr>
              <w:fldChar w:fldCharType="begin"/>
            </w:r>
            <w:r w:rsidR="00C41D7C">
              <w:rPr>
                <w:noProof/>
                <w:webHidden/>
              </w:rPr>
              <w:instrText xml:space="preserve"> PAGEREF _Toc430987037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8" w:history="1">
            <w:r w:rsidR="00C41D7C" w:rsidRPr="00EA3EAD">
              <w:rPr>
                <w:rStyle w:val="Hipervnculo"/>
                <w:noProof/>
              </w:rPr>
              <w:t>1.3.</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ALCANCE</w:t>
            </w:r>
            <w:r w:rsidR="00C41D7C">
              <w:rPr>
                <w:noProof/>
                <w:webHidden/>
              </w:rPr>
              <w:tab/>
            </w:r>
            <w:r w:rsidR="00C41D7C">
              <w:rPr>
                <w:noProof/>
                <w:webHidden/>
              </w:rPr>
              <w:fldChar w:fldCharType="begin"/>
            </w:r>
            <w:r w:rsidR="00C41D7C">
              <w:rPr>
                <w:noProof/>
                <w:webHidden/>
              </w:rPr>
              <w:instrText xml:space="preserve"> PAGEREF _Toc430987038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9" w:history="1">
            <w:r w:rsidR="00C41D7C" w:rsidRPr="00EA3EAD">
              <w:rPr>
                <w:rStyle w:val="Hipervnculo"/>
                <w:noProof/>
              </w:rPr>
              <w:t>1.4.</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DEFINICIONES</w:t>
            </w:r>
            <w:r w:rsidR="00C41D7C">
              <w:rPr>
                <w:noProof/>
                <w:webHidden/>
              </w:rPr>
              <w:tab/>
            </w:r>
            <w:r w:rsidR="00C41D7C">
              <w:rPr>
                <w:noProof/>
                <w:webHidden/>
              </w:rPr>
              <w:fldChar w:fldCharType="begin"/>
            </w:r>
            <w:r w:rsidR="00C41D7C">
              <w:rPr>
                <w:noProof/>
                <w:webHidden/>
              </w:rPr>
              <w:instrText xml:space="preserve"> PAGEREF _Toc430987039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0" w:history="1">
            <w:r w:rsidR="00C41D7C" w:rsidRPr="00EA3EAD">
              <w:rPr>
                <w:rStyle w:val="Hipervnculo"/>
                <w:noProof/>
              </w:rPr>
              <w:t>1.5.</w:t>
            </w:r>
            <w:r w:rsidR="00C41D7C">
              <w:rPr>
                <w:rFonts w:asciiTheme="minorHAnsi" w:eastAsiaTheme="minorEastAsia" w:hAnsiTheme="minorHAnsi" w:cstheme="minorBidi"/>
                <w:noProof/>
                <w:sz w:val="22"/>
                <w:szCs w:val="22"/>
                <w:lang w:eastAsia="es-PE"/>
              </w:rPr>
              <w:tab/>
            </w:r>
            <w:r w:rsidR="00C41D7C" w:rsidRPr="00EA3EAD">
              <w:rPr>
                <w:rStyle w:val="Hipervnculo"/>
                <w:noProof/>
              </w:rPr>
              <w:t>REFERENCIAS</w:t>
            </w:r>
            <w:r w:rsidR="00C41D7C">
              <w:rPr>
                <w:noProof/>
                <w:webHidden/>
              </w:rPr>
              <w:tab/>
            </w:r>
            <w:r w:rsidR="00C41D7C">
              <w:rPr>
                <w:noProof/>
                <w:webHidden/>
              </w:rPr>
              <w:fldChar w:fldCharType="begin"/>
            </w:r>
            <w:r w:rsidR="00C41D7C">
              <w:rPr>
                <w:noProof/>
                <w:webHidden/>
              </w:rPr>
              <w:instrText xml:space="preserve"> PAGEREF _Toc430987040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987E18">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1" w:history="1">
            <w:r w:rsidR="00C41D7C" w:rsidRPr="00EA3EAD">
              <w:rPr>
                <w:rStyle w:val="Hipervnculo"/>
                <w:noProof/>
              </w:rPr>
              <w:t>2.</w:t>
            </w:r>
            <w:r w:rsidR="00C41D7C">
              <w:rPr>
                <w:rFonts w:asciiTheme="minorHAnsi" w:eastAsiaTheme="minorEastAsia" w:hAnsiTheme="minorHAnsi" w:cstheme="minorBidi"/>
                <w:noProof/>
                <w:sz w:val="22"/>
                <w:szCs w:val="22"/>
                <w:lang w:eastAsia="es-PE"/>
              </w:rPr>
              <w:tab/>
            </w:r>
            <w:r w:rsidR="00C41D7C" w:rsidRPr="00EA3EAD">
              <w:rPr>
                <w:rStyle w:val="Hipervnculo"/>
                <w:noProof/>
              </w:rPr>
              <w:t>GESTION DE CONFIGURACION DEL SOFTWARE (SCM)</w:t>
            </w:r>
            <w:r w:rsidR="00C41D7C">
              <w:rPr>
                <w:noProof/>
                <w:webHidden/>
              </w:rPr>
              <w:tab/>
            </w:r>
            <w:r w:rsidR="00C41D7C">
              <w:rPr>
                <w:noProof/>
                <w:webHidden/>
              </w:rPr>
              <w:fldChar w:fldCharType="begin"/>
            </w:r>
            <w:r w:rsidR="00C41D7C">
              <w:rPr>
                <w:noProof/>
                <w:webHidden/>
              </w:rPr>
              <w:instrText xml:space="preserve"> PAGEREF _Toc430987041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2" w:history="1">
            <w:r w:rsidR="00C41D7C" w:rsidRPr="00EA3EAD">
              <w:rPr>
                <w:rStyle w:val="Hipervnculo"/>
                <w:noProof/>
              </w:rPr>
              <w:t>2.1.</w:t>
            </w:r>
            <w:r w:rsidR="00C41D7C">
              <w:rPr>
                <w:rFonts w:asciiTheme="minorHAnsi" w:eastAsiaTheme="minorEastAsia" w:hAnsiTheme="minorHAnsi" w:cstheme="minorBidi"/>
                <w:noProof/>
                <w:sz w:val="22"/>
                <w:szCs w:val="22"/>
                <w:lang w:eastAsia="es-PE"/>
              </w:rPr>
              <w:tab/>
            </w:r>
            <w:r w:rsidR="00C41D7C" w:rsidRPr="00EA3EAD">
              <w:rPr>
                <w:rStyle w:val="Hipervnculo"/>
                <w:noProof/>
              </w:rPr>
              <w:t>ORGANIZACIÓN DE SCM.</w:t>
            </w:r>
            <w:r w:rsidR="00C41D7C">
              <w:rPr>
                <w:noProof/>
                <w:webHidden/>
              </w:rPr>
              <w:tab/>
            </w:r>
            <w:r w:rsidR="00C41D7C">
              <w:rPr>
                <w:noProof/>
                <w:webHidden/>
              </w:rPr>
              <w:fldChar w:fldCharType="begin"/>
            </w:r>
            <w:r w:rsidR="00C41D7C">
              <w:rPr>
                <w:noProof/>
                <w:webHidden/>
              </w:rPr>
              <w:instrText xml:space="preserve"> PAGEREF _Toc430987042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3" w:history="1">
            <w:r w:rsidR="00C41D7C" w:rsidRPr="00EA3EAD">
              <w:rPr>
                <w:rStyle w:val="Hipervnculo"/>
                <w:noProof/>
              </w:rPr>
              <w:t>2.2.</w:t>
            </w:r>
            <w:r w:rsidR="00C41D7C">
              <w:rPr>
                <w:rFonts w:asciiTheme="minorHAnsi" w:eastAsiaTheme="minorEastAsia" w:hAnsiTheme="minorHAnsi" w:cstheme="minorBidi"/>
                <w:noProof/>
                <w:sz w:val="22"/>
                <w:szCs w:val="22"/>
                <w:lang w:eastAsia="es-PE"/>
              </w:rPr>
              <w:tab/>
            </w:r>
            <w:r w:rsidR="00C41D7C" w:rsidRPr="00EA3EAD">
              <w:rPr>
                <w:rStyle w:val="Hipervnculo"/>
                <w:noProof/>
              </w:rPr>
              <w:t>ROLES Y RESPONSABILIDADES DE SCM.</w:t>
            </w:r>
            <w:r w:rsidR="00C41D7C">
              <w:rPr>
                <w:noProof/>
                <w:webHidden/>
              </w:rPr>
              <w:tab/>
            </w:r>
            <w:r w:rsidR="00C41D7C">
              <w:rPr>
                <w:noProof/>
                <w:webHidden/>
              </w:rPr>
              <w:fldChar w:fldCharType="begin"/>
            </w:r>
            <w:r w:rsidR="00C41D7C">
              <w:rPr>
                <w:noProof/>
                <w:webHidden/>
              </w:rPr>
              <w:instrText xml:space="preserve"> PAGEREF _Toc430987043 \h </w:instrText>
            </w:r>
            <w:r w:rsidR="00C41D7C">
              <w:rPr>
                <w:noProof/>
                <w:webHidden/>
              </w:rPr>
            </w:r>
            <w:r w:rsidR="00C41D7C">
              <w:rPr>
                <w:noProof/>
                <w:webHidden/>
              </w:rPr>
              <w:fldChar w:fldCharType="separate"/>
            </w:r>
            <w:r w:rsidR="00C41D7C">
              <w:rPr>
                <w:noProof/>
                <w:webHidden/>
              </w:rPr>
              <w:t>9</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4" w:history="1">
            <w:r w:rsidR="00C41D7C" w:rsidRPr="00EA3EAD">
              <w:rPr>
                <w:rStyle w:val="Hipervnculo"/>
                <w:noProof/>
              </w:rPr>
              <w:t>2.3.</w:t>
            </w:r>
            <w:r w:rsidR="00C41D7C">
              <w:rPr>
                <w:rFonts w:asciiTheme="minorHAnsi" w:eastAsiaTheme="minorEastAsia" w:hAnsiTheme="minorHAnsi" w:cstheme="minorBidi"/>
                <w:noProof/>
                <w:sz w:val="22"/>
                <w:szCs w:val="22"/>
                <w:lang w:eastAsia="es-PE"/>
              </w:rPr>
              <w:tab/>
            </w:r>
            <w:r w:rsidR="00C41D7C" w:rsidRPr="00EA3EAD">
              <w:rPr>
                <w:rStyle w:val="Hipervnculo"/>
                <w:noProof/>
              </w:rPr>
              <w:t>POLITICAS, NORMATIVAS Y PROCEDIMIENTOS</w:t>
            </w:r>
            <w:r w:rsidR="00C41D7C">
              <w:rPr>
                <w:noProof/>
                <w:webHidden/>
              </w:rPr>
              <w:tab/>
            </w:r>
            <w:r w:rsidR="00C41D7C">
              <w:rPr>
                <w:noProof/>
                <w:webHidden/>
              </w:rPr>
              <w:fldChar w:fldCharType="begin"/>
            </w:r>
            <w:r w:rsidR="00C41D7C">
              <w:rPr>
                <w:noProof/>
                <w:webHidden/>
              </w:rPr>
              <w:instrText xml:space="preserve"> PAGEREF _Toc430987044 \h </w:instrText>
            </w:r>
            <w:r w:rsidR="00C41D7C">
              <w:rPr>
                <w:noProof/>
                <w:webHidden/>
              </w:rPr>
            </w:r>
            <w:r w:rsidR="00C41D7C">
              <w:rPr>
                <w:noProof/>
                <w:webHidden/>
              </w:rPr>
              <w:fldChar w:fldCharType="separate"/>
            </w:r>
            <w:r w:rsidR="00C41D7C">
              <w:rPr>
                <w:noProof/>
                <w:webHidden/>
              </w:rPr>
              <w:t>10</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5" w:history="1">
            <w:r w:rsidR="00C41D7C" w:rsidRPr="00EA3EAD">
              <w:rPr>
                <w:rStyle w:val="Hipervnculo"/>
                <w:noProof/>
              </w:rPr>
              <w:t>2.4.</w:t>
            </w:r>
            <w:r w:rsidR="00C41D7C">
              <w:rPr>
                <w:rFonts w:asciiTheme="minorHAnsi" w:eastAsiaTheme="minorEastAsia" w:hAnsiTheme="minorHAnsi" w:cstheme="minorBidi"/>
                <w:noProof/>
                <w:sz w:val="22"/>
                <w:szCs w:val="22"/>
                <w:lang w:eastAsia="es-PE"/>
              </w:rPr>
              <w:tab/>
            </w:r>
            <w:r w:rsidR="00C41D7C" w:rsidRPr="00EA3EAD">
              <w:rPr>
                <w:rStyle w:val="Hipervnculo"/>
                <w:noProof/>
              </w:rPr>
              <w:t>HERRAMIENTAS E INFRAESTRUCTURA DE TI</w:t>
            </w:r>
            <w:r w:rsidR="00C41D7C">
              <w:rPr>
                <w:noProof/>
                <w:webHidden/>
              </w:rPr>
              <w:tab/>
            </w:r>
            <w:r w:rsidR="00C41D7C">
              <w:rPr>
                <w:noProof/>
                <w:webHidden/>
              </w:rPr>
              <w:fldChar w:fldCharType="begin"/>
            </w:r>
            <w:r w:rsidR="00C41D7C">
              <w:rPr>
                <w:noProof/>
                <w:webHidden/>
              </w:rPr>
              <w:instrText xml:space="preserve"> PAGEREF _Toc430987045 \h </w:instrText>
            </w:r>
            <w:r w:rsidR="00C41D7C">
              <w:rPr>
                <w:noProof/>
                <w:webHidden/>
              </w:rPr>
            </w:r>
            <w:r w:rsidR="00C41D7C">
              <w:rPr>
                <w:noProof/>
                <w:webHidden/>
              </w:rPr>
              <w:fldChar w:fldCharType="separate"/>
            </w:r>
            <w:r w:rsidR="00C41D7C">
              <w:rPr>
                <w:noProof/>
                <w:webHidden/>
              </w:rPr>
              <w:t>10</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6" w:history="1">
            <w:r w:rsidR="00C41D7C" w:rsidRPr="00EA3EAD">
              <w:rPr>
                <w:rStyle w:val="Hipervnculo"/>
                <w:noProof/>
              </w:rPr>
              <w:t>2.5.</w:t>
            </w:r>
            <w:r w:rsidR="00C41D7C">
              <w:rPr>
                <w:rFonts w:asciiTheme="minorHAnsi" w:eastAsiaTheme="minorEastAsia" w:hAnsiTheme="minorHAnsi" w:cstheme="minorBidi"/>
                <w:noProof/>
                <w:sz w:val="22"/>
                <w:szCs w:val="22"/>
                <w:lang w:eastAsia="es-PE"/>
              </w:rPr>
              <w:tab/>
            </w:r>
            <w:r w:rsidR="00C41D7C" w:rsidRPr="00EA3EAD">
              <w:rPr>
                <w:rStyle w:val="Hipervnculo"/>
                <w:noProof/>
              </w:rPr>
              <w:t>Cronograma de la implementación de la SCM</w:t>
            </w:r>
            <w:r w:rsidR="00C41D7C">
              <w:rPr>
                <w:noProof/>
                <w:webHidden/>
              </w:rPr>
              <w:tab/>
            </w:r>
            <w:r w:rsidR="00C41D7C">
              <w:rPr>
                <w:noProof/>
                <w:webHidden/>
              </w:rPr>
              <w:fldChar w:fldCharType="begin"/>
            </w:r>
            <w:r w:rsidR="00C41D7C">
              <w:rPr>
                <w:noProof/>
                <w:webHidden/>
              </w:rPr>
              <w:instrText xml:space="preserve"> PAGEREF _Toc430987046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C41D7C" w:rsidRDefault="00987E18">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7" w:history="1">
            <w:r w:rsidR="00C41D7C" w:rsidRPr="00EA3EAD">
              <w:rPr>
                <w:rStyle w:val="Hipervnculo"/>
                <w:noProof/>
              </w:rPr>
              <w:t>3.</w:t>
            </w:r>
            <w:r w:rsidR="00C41D7C">
              <w:rPr>
                <w:rFonts w:asciiTheme="minorHAnsi" w:eastAsiaTheme="minorEastAsia" w:hAnsiTheme="minorHAnsi" w:cstheme="minorBidi"/>
                <w:noProof/>
                <w:sz w:val="22"/>
                <w:szCs w:val="22"/>
                <w:lang w:eastAsia="es-PE"/>
              </w:rPr>
              <w:tab/>
            </w:r>
            <w:r w:rsidR="00C41D7C" w:rsidRPr="00EA3EAD">
              <w:rPr>
                <w:rStyle w:val="Hipervnculo"/>
                <w:noProof/>
              </w:rPr>
              <w:t>IDENTIFICACIÓN DE LA CONFIGURACIÓN</w:t>
            </w:r>
            <w:r w:rsidR="00C41D7C">
              <w:rPr>
                <w:noProof/>
                <w:webHidden/>
              </w:rPr>
              <w:tab/>
            </w:r>
            <w:r w:rsidR="00C41D7C">
              <w:rPr>
                <w:noProof/>
                <w:webHidden/>
              </w:rPr>
              <w:fldChar w:fldCharType="begin"/>
            </w:r>
            <w:r w:rsidR="00C41D7C">
              <w:rPr>
                <w:noProof/>
                <w:webHidden/>
              </w:rPr>
              <w:instrText xml:space="preserve"> PAGEREF _Toc430987047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8" w:history="1">
            <w:r w:rsidR="00C41D7C" w:rsidRPr="00EA3EAD">
              <w:rPr>
                <w:rStyle w:val="Hipervnculo"/>
                <w:noProof/>
              </w:rPr>
              <w:t>3.1.</w:t>
            </w:r>
            <w:r w:rsidR="00C41D7C">
              <w:rPr>
                <w:rFonts w:asciiTheme="minorHAnsi" w:eastAsiaTheme="minorEastAsia" w:hAnsiTheme="minorHAnsi" w:cstheme="minorBidi"/>
                <w:noProof/>
                <w:sz w:val="22"/>
                <w:szCs w:val="22"/>
                <w:lang w:eastAsia="es-PE"/>
              </w:rPr>
              <w:tab/>
            </w:r>
            <w:r w:rsidR="00C41D7C" w:rsidRPr="00EA3EAD">
              <w:rPr>
                <w:rStyle w:val="Hipervnculo"/>
                <w:noProof/>
              </w:rPr>
              <w:t>CONTROL DE LA CONFIGURACIÓN</w:t>
            </w:r>
            <w:r w:rsidR="00C41D7C">
              <w:rPr>
                <w:noProof/>
                <w:webHidden/>
              </w:rPr>
              <w:tab/>
            </w:r>
            <w:r w:rsidR="00C41D7C">
              <w:rPr>
                <w:noProof/>
                <w:webHidden/>
              </w:rPr>
              <w:fldChar w:fldCharType="begin"/>
            </w:r>
            <w:r w:rsidR="00C41D7C">
              <w:rPr>
                <w:noProof/>
                <w:webHidden/>
              </w:rPr>
              <w:instrText xml:space="preserve"> PAGEREF _Toc430987048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C41D7C" w:rsidRDefault="00987E1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9" w:history="1">
            <w:r w:rsidR="00C41D7C" w:rsidRPr="00EA3EAD">
              <w:rPr>
                <w:rStyle w:val="Hipervnculo"/>
                <w:noProof/>
              </w:rPr>
              <w:t>3.2.</w:t>
            </w:r>
            <w:r w:rsidR="00C41D7C">
              <w:rPr>
                <w:rFonts w:asciiTheme="minorHAnsi" w:eastAsiaTheme="minorEastAsia" w:hAnsiTheme="minorHAnsi" w:cstheme="minorBidi"/>
                <w:noProof/>
                <w:sz w:val="22"/>
                <w:szCs w:val="22"/>
                <w:lang w:eastAsia="es-PE"/>
              </w:rPr>
              <w:tab/>
            </w:r>
            <w:r w:rsidR="00C41D7C" w:rsidRPr="00EA3EAD">
              <w:rPr>
                <w:rStyle w:val="Hipervnculo"/>
                <w:noProof/>
              </w:rPr>
              <w:t>ESTADO DE LA CONFIGURACIÓN</w:t>
            </w:r>
            <w:r w:rsidR="00C41D7C">
              <w:rPr>
                <w:noProof/>
                <w:webHidden/>
              </w:rPr>
              <w:tab/>
            </w:r>
            <w:r w:rsidR="00C41D7C">
              <w:rPr>
                <w:noProof/>
                <w:webHidden/>
              </w:rPr>
              <w:fldChar w:fldCharType="begin"/>
            </w:r>
            <w:r w:rsidR="00C41D7C">
              <w:rPr>
                <w:noProof/>
                <w:webHidden/>
              </w:rPr>
              <w:instrText xml:space="preserve"> PAGEREF _Toc430987049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41D7C"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7027" w:history="1">
        <w:r w:rsidR="00C41D7C" w:rsidRPr="00124ECD">
          <w:rPr>
            <w:rStyle w:val="Hipervnculo"/>
            <w:noProof/>
          </w:rPr>
          <w:t>Ilustración 1: Organización de SCM – INNOVACION SAC</w:t>
        </w:r>
        <w:r w:rsidR="00C41D7C">
          <w:rPr>
            <w:noProof/>
            <w:webHidden/>
          </w:rPr>
          <w:tab/>
        </w:r>
        <w:r w:rsidR="00C41D7C">
          <w:rPr>
            <w:noProof/>
            <w:webHidden/>
          </w:rPr>
          <w:fldChar w:fldCharType="begin"/>
        </w:r>
        <w:r w:rsidR="00C41D7C">
          <w:rPr>
            <w:noProof/>
            <w:webHidden/>
          </w:rPr>
          <w:instrText xml:space="preserve"> PAGEREF _Toc430987027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987E18">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8" w:history="1">
        <w:r w:rsidR="00C41D7C" w:rsidRPr="00124ECD">
          <w:rPr>
            <w:rStyle w:val="Hipervnculo"/>
            <w:noProof/>
          </w:rPr>
          <w:t>Ilustración 2: Modelo RUP y SCM</w:t>
        </w:r>
        <w:r w:rsidR="00C41D7C">
          <w:rPr>
            <w:noProof/>
            <w:webHidden/>
          </w:rPr>
          <w:tab/>
        </w:r>
        <w:r w:rsidR="00C41D7C">
          <w:rPr>
            <w:noProof/>
            <w:webHidden/>
          </w:rPr>
          <w:fldChar w:fldCharType="begin"/>
        </w:r>
        <w:r w:rsidR="00C41D7C">
          <w:rPr>
            <w:noProof/>
            <w:webHidden/>
          </w:rPr>
          <w:instrText xml:space="preserve"> PAGEREF _Toc430987028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987E18">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9" w:history="1">
        <w:r w:rsidR="00C41D7C" w:rsidRPr="00124ECD">
          <w:rPr>
            <w:rStyle w:val="Hipervnculo"/>
            <w:noProof/>
          </w:rPr>
          <w:t>Ilustración 3:Fases de desarrollo de SW vs Actividades SCM</w:t>
        </w:r>
        <w:r w:rsidR="00C41D7C">
          <w:rPr>
            <w:noProof/>
            <w:webHidden/>
          </w:rPr>
          <w:tab/>
        </w:r>
        <w:r w:rsidR="00C41D7C">
          <w:rPr>
            <w:noProof/>
            <w:webHidden/>
          </w:rPr>
          <w:fldChar w:fldCharType="begin"/>
        </w:r>
        <w:r w:rsidR="00C41D7C">
          <w:rPr>
            <w:noProof/>
            <w:webHidden/>
          </w:rPr>
          <w:instrText xml:space="preserve"> PAGEREF _Toc430987029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987E18">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30" w:history="1">
        <w:r w:rsidR="00C41D7C" w:rsidRPr="00124ECD">
          <w:rPr>
            <w:rStyle w:val="Hipervnculo"/>
            <w:noProof/>
          </w:rPr>
          <w:t>Ilustración 4: Infraestructura de implementación de SCM</w:t>
        </w:r>
        <w:r w:rsidR="00C41D7C">
          <w:rPr>
            <w:noProof/>
            <w:webHidden/>
          </w:rPr>
          <w:tab/>
        </w:r>
        <w:r w:rsidR="00C41D7C">
          <w:rPr>
            <w:noProof/>
            <w:webHidden/>
          </w:rPr>
          <w:fldChar w:fldCharType="begin"/>
        </w:r>
        <w:r w:rsidR="00C41D7C">
          <w:rPr>
            <w:noProof/>
            <w:webHidden/>
          </w:rPr>
          <w:instrText xml:space="preserve"> PAGEREF _Toc430987030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0987035"/>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987036"/>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987037"/>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987038"/>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987039"/>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987040"/>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987E18"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987041"/>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0987042"/>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7.4pt" o:ole="">
            <v:imagedata r:id="rId12" o:title=""/>
          </v:shape>
          <o:OLEObject Type="Embed" ProgID="Visio.Drawing.11" ShapeID="_x0000_i1025" DrawAspect="Content" ObjectID="_1505939099" r:id="rId13"/>
        </w:object>
      </w:r>
    </w:p>
    <w:p w:rsidR="007D311D" w:rsidRDefault="006403F6" w:rsidP="006403F6">
      <w:pPr>
        <w:pStyle w:val="Descripcin"/>
      </w:pPr>
      <w:bookmarkStart w:id="8" w:name="_Toc430987027"/>
      <w:r>
        <w:t xml:space="preserve">Ilustración </w:t>
      </w:r>
      <w:fldSimple w:instr=" SEQ Ilustración \* ARABIC ">
        <w:r w:rsidR="00C8058B">
          <w:rPr>
            <w:noProof/>
          </w:rPr>
          <w:t>1</w:t>
        </w:r>
      </w:fldSimple>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0987028"/>
      <w:r>
        <w:t xml:space="preserve">Ilustración </w:t>
      </w:r>
      <w:fldSimple w:instr=" SEQ Ilustración \* ARABIC ">
        <w:r w:rsidR="00C8058B">
          <w:rPr>
            <w:noProof/>
          </w:rPr>
          <w:t>2</w:t>
        </w:r>
      </w:fldSimple>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0987029"/>
      <w:r>
        <w:t xml:space="preserve">Ilustración </w:t>
      </w:r>
      <w:fldSimple w:instr=" SEQ Ilustración \* ARABIC ">
        <w:r w:rsidR="00C8058B">
          <w:rPr>
            <w:noProof/>
          </w:rPr>
          <w:t>3</w:t>
        </w:r>
      </w:fldSimple>
      <w:r w:rsidR="007E552E">
        <w:t>:</w:t>
      </w:r>
      <w:r>
        <w:t>Fases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0987043"/>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5F6E11">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0987044"/>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0987045"/>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4pt;height:268.8pt" o:ole="">
            <v:imagedata r:id="rId16" o:title=""/>
          </v:shape>
          <o:OLEObject Type="Embed" ProgID="Visio.Drawing.15" ShapeID="_x0000_i1026" DrawAspect="Content" ObjectID="_1505939100" r:id="rId17"/>
        </w:object>
      </w:r>
    </w:p>
    <w:p w:rsidR="005C6A8F" w:rsidRPr="005C6A8F" w:rsidRDefault="00C8058B" w:rsidP="00C8058B">
      <w:pPr>
        <w:pStyle w:val="Descripcin"/>
        <w:jc w:val="center"/>
      </w:pPr>
      <w:bookmarkStart w:id="15" w:name="_Toc430987030"/>
      <w:r>
        <w:t xml:space="preserve">Ilustración </w:t>
      </w:r>
      <w:fldSimple w:instr=" SEQ Ilustración \* ARABIC ">
        <w:r>
          <w:rPr>
            <w:noProof/>
          </w:rPr>
          <w:t>4</w:t>
        </w:r>
      </w:fldSimple>
      <w:r>
        <w:t>: Infraestructura de implementación de SCM</w:t>
      </w:r>
      <w:bookmarkEnd w:id="15"/>
    </w:p>
    <w:p w:rsidR="004C71A4" w:rsidRDefault="004C71A4" w:rsidP="00F362EA">
      <w:pPr>
        <w:ind w:left="708"/>
      </w:pPr>
    </w:p>
    <w:p w:rsidR="008F592F" w:rsidRDefault="000E69D4" w:rsidP="004C71A4">
      <w:pPr>
        <w:pStyle w:val="Ttulo2"/>
        <w:numPr>
          <w:ilvl w:val="1"/>
          <w:numId w:val="10"/>
        </w:numPr>
      </w:pPr>
      <w:bookmarkStart w:id="16" w:name="_Toc430987046"/>
      <w:r>
        <w:t>CRONOGRAMA DE LA IMPLEMENTACIÓN DE LA SCM</w:t>
      </w:r>
      <w:bookmarkEnd w:id="16"/>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Pr>
            <w:noProof/>
          </w:rPr>
          <w:t>2</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7" w:name="_Toc430987047"/>
      <w:r>
        <w:t xml:space="preserve">ACTIVIDADES DE LA GESTION DE LA CONFIGURACION </w:t>
      </w:r>
    </w:p>
    <w:p w:rsidR="00F362EA" w:rsidRDefault="005B1954" w:rsidP="00681B68">
      <w:pPr>
        <w:pStyle w:val="Ttulo1"/>
        <w:numPr>
          <w:ilvl w:val="1"/>
          <w:numId w:val="10"/>
        </w:numPr>
      </w:pPr>
      <w:r>
        <w:t>IDENTIFICACIÓN DE LA CONFIGURACIÓN</w:t>
      </w:r>
      <w:bookmarkEnd w:id="17"/>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18" w:name="_Toc430987048"/>
      <w:r>
        <w:t>CLASIFICACION DE LA SCM</w:t>
      </w:r>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proofErr w:type="spellStart"/>
            <w:r>
              <w:rPr>
                <w:lang w:eastAsia="es-PE"/>
              </w:rPr>
              <w:t>Release</w:t>
            </w:r>
            <w:proofErr w:type="spellEnd"/>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proofErr w:type="spellStart"/>
            <w:r>
              <w:rPr>
                <w:lang w:eastAsia="es-PE"/>
              </w:rPr>
              <w:t>Release</w:t>
            </w:r>
            <w:proofErr w:type="spellEnd"/>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r>
        <w:t>NOMENCLATURA DE LOS ELEMENTOS DE LA SCM</w:t>
      </w:r>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t xml:space="preserve">RE: </w:t>
      </w:r>
      <w:proofErr w:type="spellStart"/>
      <w:r>
        <w:t>Release</w:t>
      </w:r>
      <w:proofErr w:type="spellEnd"/>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lastRenderedPageBreak/>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proofErr w:type="spellStart"/>
      <w:r w:rsidRPr="006E5794">
        <w:rPr>
          <w:b/>
        </w:rPr>
        <w:t>Release</w:t>
      </w:r>
      <w:proofErr w:type="spellEnd"/>
      <w:r w:rsidR="006E5794">
        <w:rPr>
          <w:b/>
        </w:rPr>
        <w:t>:</w:t>
      </w:r>
    </w:p>
    <w:p w:rsidR="00224B5C" w:rsidRDefault="00224B5C" w:rsidP="008C01A9">
      <w:pPr>
        <w:ind w:left="708"/>
      </w:pPr>
      <w:r>
        <w:t xml:space="preserve">Acrónimo proyecto + _ + </w:t>
      </w:r>
      <w:r w:rsidR="008C01A9">
        <w:t>número</w:t>
      </w:r>
      <w:r>
        <w:t xml:space="preserve"> de </w:t>
      </w:r>
      <w:proofErr w:type="spellStart"/>
      <w:r>
        <w:t>release</w:t>
      </w:r>
      <w:proofErr w:type="spellEnd"/>
    </w:p>
    <w:p w:rsidR="00224B5C" w:rsidRDefault="00224B5C" w:rsidP="008C01A9">
      <w:pPr>
        <w:ind w:left="708"/>
      </w:pPr>
      <w:r>
        <w:t>Ejemplo: SCV_001</w:t>
      </w:r>
    </w:p>
    <w:bookmarkEnd w:id="18"/>
    <w:p w:rsidR="00681B68" w:rsidRDefault="00681B68" w:rsidP="00681B68"/>
    <w:p w:rsidR="00A50BDC" w:rsidRDefault="00A50BDC" w:rsidP="00681B68"/>
    <w:p w:rsidR="00987E18" w:rsidRDefault="00987E18" w:rsidP="00721DFD">
      <w:pPr>
        <w:pStyle w:val="Ttulo3"/>
        <w:numPr>
          <w:ilvl w:val="2"/>
          <w:numId w:val="10"/>
        </w:numPr>
      </w:pPr>
      <w:r>
        <w:t>INVENTARIO DE ELEMENTOS (ITEMS) SCM</w:t>
      </w:r>
    </w:p>
    <w:p w:rsidR="00987E18" w:rsidRDefault="00987E18" w:rsidP="00681B68"/>
    <w:p w:rsidR="00721DFD" w:rsidRDefault="00987E18" w:rsidP="00681B68">
      <w:r>
        <w:t xml:space="preserve">Para los proyectos gestionados con SCM, se usara los siguientes </w:t>
      </w:r>
      <w:r w:rsidR="00721DFD">
        <w:t>elementos:</w:t>
      </w:r>
    </w:p>
    <w:p w:rsidR="00721DFD" w:rsidRDefault="00721DFD" w:rsidP="00681B68"/>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w:t>
            </w:r>
            <w:proofErr w:type="spellStart"/>
            <w:r w:rsidRPr="00721DFD">
              <w:rPr>
                <w:b/>
              </w:rPr>
              <w:t>Evol</w:t>
            </w:r>
            <w:proofErr w:type="spellEnd"/>
            <w:r w:rsidRPr="00721DFD">
              <w:rPr>
                <w:b/>
              </w:rPr>
              <w:t xml:space="preserve"> F=Fuente S=</w:t>
            </w:r>
            <w:proofErr w:type="spellStart"/>
            <w:r w:rsidRPr="00721DFD">
              <w:rPr>
                <w:b/>
              </w:rPr>
              <w:t>Soport</w:t>
            </w:r>
            <w:proofErr w:type="spellEnd"/>
            <w:r w:rsidRPr="00721DFD">
              <w:rPr>
                <w:b/>
              </w:rPr>
              <w:t>)</w:t>
            </w:r>
          </w:p>
        </w:tc>
        <w:tc>
          <w:tcPr>
            <w:tcW w:w="1010" w:type="dxa"/>
            <w:shd w:val="clear" w:color="auto" w:fill="auto"/>
            <w:vAlign w:val="center"/>
            <w:hideMark/>
          </w:tcPr>
          <w:p w:rsidR="00721DFD" w:rsidRPr="00721DFD" w:rsidRDefault="00721DFD" w:rsidP="00721DFD">
            <w:pPr>
              <w:jc w:val="center"/>
              <w:rPr>
                <w:b/>
              </w:rPr>
            </w:pPr>
            <w:r w:rsidRPr="00721DFD">
              <w:rPr>
                <w:b/>
              </w:rPr>
              <w:t>FUENTE (E=</w:t>
            </w:r>
            <w:proofErr w:type="spellStart"/>
            <w:r w:rsidRPr="00721DFD">
              <w:rPr>
                <w:b/>
              </w:rPr>
              <w:t>Empr</w:t>
            </w:r>
            <w:proofErr w:type="spellEnd"/>
            <w:r w:rsidRPr="00721DFD">
              <w:rPr>
                <w:b/>
              </w:rPr>
              <w:t xml:space="preserve"> P=</w:t>
            </w:r>
            <w:proofErr w:type="spellStart"/>
            <w:r w:rsidRPr="00721DFD">
              <w:rPr>
                <w:b/>
              </w:rPr>
              <w:t>Proy</w:t>
            </w:r>
            <w:proofErr w:type="spellEnd"/>
            <w:r w:rsidRPr="00721DFD">
              <w:rPr>
                <w:b/>
              </w:rPr>
              <w:t xml:space="preserve"> C=Cliente P=</w:t>
            </w:r>
            <w:proofErr w:type="spellStart"/>
            <w:r w:rsidRPr="00721DFD">
              <w:rPr>
                <w:b/>
              </w:rPr>
              <w:t>Prov</w:t>
            </w:r>
            <w:proofErr w:type="spellEnd"/>
            <w:r w:rsidRPr="00721DFD">
              <w:rPr>
                <w:b/>
              </w:rPr>
              <w:t>)</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w:t>
            </w:r>
            <w:r>
              <w:t>A</w:t>
            </w:r>
          </w:p>
        </w:tc>
        <w:tc>
          <w:tcPr>
            <w:tcW w:w="4553" w:type="dxa"/>
            <w:shd w:val="clear" w:color="auto" w:fill="auto"/>
            <w:noWrap/>
            <w:vAlign w:val="bottom"/>
            <w:hideMark/>
          </w:tcPr>
          <w:p w:rsidR="00721DFD" w:rsidRPr="00721DFD" w:rsidRDefault="00BE320D" w:rsidP="00721DFD">
            <w:r>
              <w:t xml:space="preserve">Documento de </w:t>
            </w:r>
            <w:proofErr w:type="spellStart"/>
            <w:r>
              <w:t>Analisis</w:t>
            </w:r>
            <w:proofErr w:type="spellEnd"/>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proofErr w:type="spellStart"/>
            <w:r>
              <w:t>Release</w:t>
            </w:r>
            <w:proofErr w:type="spellEnd"/>
            <w:r>
              <w:t xml:space="preserv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t>_D</w:t>
            </w:r>
            <w:r>
              <w:t>A</w:t>
            </w:r>
          </w:p>
        </w:tc>
        <w:tc>
          <w:tcPr>
            <w:tcW w:w="4553" w:type="dxa"/>
            <w:shd w:val="clear" w:color="auto" w:fill="auto"/>
            <w:noWrap/>
            <w:vAlign w:val="bottom"/>
          </w:tcPr>
          <w:p w:rsidR="008B7D17" w:rsidRPr="00721DFD" w:rsidRDefault="008B7D17" w:rsidP="008B7D17">
            <w:r>
              <w:t xml:space="preserve">Documento de </w:t>
            </w:r>
            <w:proofErr w:type="spellStart"/>
            <w:r>
              <w:t>Analisis</w:t>
            </w:r>
            <w:proofErr w:type="spellEnd"/>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proofErr w:type="spellStart"/>
            <w:r>
              <w:t>Release</w:t>
            </w:r>
            <w:proofErr w:type="spellEnd"/>
            <w:r>
              <w:t xml:space="preserv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t>_D</w:t>
            </w:r>
            <w:r>
              <w:t>A</w:t>
            </w:r>
          </w:p>
        </w:tc>
        <w:tc>
          <w:tcPr>
            <w:tcW w:w="4553" w:type="dxa"/>
            <w:shd w:val="clear" w:color="auto" w:fill="auto"/>
            <w:noWrap/>
            <w:vAlign w:val="bottom"/>
          </w:tcPr>
          <w:p w:rsidR="003171E4" w:rsidRPr="00721DFD" w:rsidRDefault="003171E4" w:rsidP="003171E4">
            <w:r>
              <w:t xml:space="preserve">Documento de </w:t>
            </w:r>
            <w:proofErr w:type="spellStart"/>
            <w:r>
              <w:t>Analisis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proofErr w:type="spellStart"/>
            <w:r>
              <w:t>Release</w:t>
            </w:r>
            <w:proofErr w:type="spellEnd"/>
            <w:r>
              <w:t xml:space="preserv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t>_D</w:t>
            </w:r>
            <w:r>
              <w:t>A</w:t>
            </w:r>
          </w:p>
        </w:tc>
        <w:tc>
          <w:tcPr>
            <w:tcW w:w="4553" w:type="dxa"/>
            <w:shd w:val="clear" w:color="auto" w:fill="auto"/>
            <w:noWrap/>
            <w:vAlign w:val="bottom"/>
          </w:tcPr>
          <w:p w:rsidR="003171E4" w:rsidRPr="00721DFD" w:rsidRDefault="003171E4" w:rsidP="003171E4">
            <w:r>
              <w:t xml:space="preserve">Documento de </w:t>
            </w:r>
            <w:proofErr w:type="spellStart"/>
            <w:r>
              <w:t>AnaliSPW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proofErr w:type="spellStart"/>
            <w:r>
              <w:t>Release</w:t>
            </w:r>
            <w:proofErr w:type="spellEnd"/>
            <w:r>
              <w:t xml:space="preserv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bookmarkStart w:id="19" w:name="_GoBack" w:colFirst="0" w:colLast="5"/>
            <w:r>
              <w:t>SRS_MT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lastRenderedPageBreak/>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w:t>
            </w:r>
            <w:r>
              <w:t>_D</w:t>
            </w:r>
            <w:r>
              <w:t>A</w:t>
            </w:r>
          </w:p>
        </w:tc>
        <w:tc>
          <w:tcPr>
            <w:tcW w:w="4553" w:type="dxa"/>
            <w:shd w:val="clear" w:color="auto" w:fill="auto"/>
            <w:noWrap/>
            <w:vAlign w:val="bottom"/>
          </w:tcPr>
          <w:p w:rsidR="003171E4" w:rsidRPr="00721DFD" w:rsidRDefault="003171E4" w:rsidP="003171E4">
            <w:r>
              <w:t xml:space="preserve">Documento de </w:t>
            </w:r>
            <w:proofErr w:type="spellStart"/>
            <w:r>
              <w:t>AnaliSRS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proofErr w:type="spellStart"/>
            <w:r>
              <w:t>Release</w:t>
            </w:r>
            <w:proofErr w:type="spellEnd"/>
            <w:r>
              <w:t xml:space="preserv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bookmarkEnd w:id="19"/>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r>
        <w:t>CONTROL</w:t>
      </w:r>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r>
        <w:t>LÍNEAS BASE</w:t>
      </w:r>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r>
        <w:lastRenderedPageBreak/>
        <w:t>LIBRERÍAS CONTROLADAS</w:t>
      </w:r>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 xml:space="preserve">Check in y Check out de </w:t>
      </w:r>
      <w:proofErr w:type="spellStart"/>
      <w:r w:rsidRPr="00E704CA">
        <w:rPr>
          <w:rFonts w:ascii="Perpetua" w:eastAsiaTheme="minorHAnsi" w:hAnsi="Perpetua" w:cs="Perpetua"/>
          <w:lang w:val="en-US" w:eastAsia="en-US"/>
        </w:rPr>
        <w:t>ítems</w:t>
      </w:r>
      <w:proofErr w:type="spellEnd"/>
      <w:r w:rsidRPr="00E704CA">
        <w:rPr>
          <w:rFonts w:ascii="Perpetua" w:eastAsiaTheme="minorHAnsi" w:hAnsi="Perpetua" w:cs="Perpetua"/>
          <w:lang w:val="en-US" w:eastAsia="en-US"/>
        </w:rPr>
        <w:t xml:space="preserve"> </w:t>
      </w:r>
      <w:proofErr w:type="spellStart"/>
      <w:r w:rsidRPr="00E704CA">
        <w:rPr>
          <w:rFonts w:ascii="Perpetua" w:eastAsiaTheme="minorHAnsi" w:hAnsi="Perpetua" w:cs="Perpetua"/>
          <w:lang w:val="en-US" w:eastAsia="en-US"/>
        </w:rPr>
        <w:t>pertenecientes</w:t>
      </w:r>
      <w:proofErr w:type="spellEnd"/>
      <w:r w:rsidRPr="00E704CA">
        <w:rPr>
          <w:rFonts w:ascii="Perpetua" w:eastAsiaTheme="minorHAnsi" w:hAnsi="Perpetua" w:cs="Perpetua"/>
          <w:lang w:val="en-US" w:eastAsia="en-US"/>
        </w:rPr>
        <w:t xml:space="preserve"> a la </w:t>
      </w:r>
      <w:proofErr w:type="spellStart"/>
      <w:r w:rsidRPr="00E704CA">
        <w:rPr>
          <w:rFonts w:ascii="Perpetua" w:eastAsiaTheme="minorHAnsi" w:hAnsi="Perpetua" w:cs="Perpetua"/>
          <w:lang w:val="en-US" w:eastAsia="en-US"/>
        </w:rPr>
        <w:t>biblioteca</w:t>
      </w:r>
      <w:proofErr w:type="spellEnd"/>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Check in y </w:t>
      </w:r>
      <w:proofErr w:type="spellStart"/>
      <w:r w:rsidRPr="00C4678C">
        <w:rPr>
          <w:rFonts w:eastAsiaTheme="minorHAnsi"/>
        </w:rPr>
        <w:t>Check</w:t>
      </w:r>
      <w:proofErr w:type="spellEnd"/>
      <w:r w:rsidRPr="00C4678C">
        <w:rPr>
          <w:rFonts w:eastAsiaTheme="minorHAnsi"/>
        </w:rPr>
        <w:t xml:space="preserve">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681B68" w:rsidRPr="005B515C" w:rsidRDefault="005B515C" w:rsidP="00CB6986">
      <w:pPr>
        <w:pStyle w:val="Prrafodelista"/>
        <w:numPr>
          <w:ilvl w:val="0"/>
          <w:numId w:val="17"/>
        </w:numPr>
      </w:pPr>
      <w:r w:rsidRPr="00CB6986">
        <w:rPr>
          <w:rFonts w:eastAsiaTheme="minorHAnsi"/>
        </w:rPr>
        <w:t>Sección con los componentes reusables del software;</w:t>
      </w:r>
    </w:p>
    <w:sectPr w:rsidR="00681B68" w:rsidRPr="005B515C">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3C9" w:rsidRDefault="005533C9" w:rsidP="00A43FA1">
      <w:r>
        <w:separator/>
      </w:r>
    </w:p>
  </w:endnote>
  <w:endnote w:type="continuationSeparator" w:id="0">
    <w:p w:rsidR="005533C9" w:rsidRDefault="005533C9"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Content>
      <w:p w:rsidR="00987E18" w:rsidRDefault="00987E18">
        <w:pPr>
          <w:pStyle w:val="Piedepgina"/>
          <w:jc w:val="center"/>
        </w:pPr>
        <w:r>
          <w:fldChar w:fldCharType="begin"/>
        </w:r>
        <w:r>
          <w:instrText>PAGE   \* MERGEFORMAT</w:instrText>
        </w:r>
        <w:r>
          <w:fldChar w:fldCharType="separate"/>
        </w:r>
        <w:r w:rsidR="003171E4" w:rsidRPr="003171E4">
          <w:rPr>
            <w:noProof/>
            <w:lang w:val="es-ES"/>
          </w:rPr>
          <w:t>20</w:t>
        </w:r>
        <w:r>
          <w:fldChar w:fldCharType="end"/>
        </w:r>
      </w:p>
    </w:sdtContent>
  </w:sdt>
  <w:p w:rsidR="00987E18" w:rsidRDefault="00987E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3C9" w:rsidRDefault="005533C9" w:rsidP="00A43FA1">
      <w:r>
        <w:separator/>
      </w:r>
    </w:p>
  </w:footnote>
  <w:footnote w:type="continuationSeparator" w:id="0">
    <w:p w:rsidR="005533C9" w:rsidRDefault="005533C9"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987E18" w:rsidTr="00110DFA">
      <w:tc>
        <w:tcPr>
          <w:tcW w:w="1696" w:type="dxa"/>
        </w:tcPr>
        <w:p w:rsidR="00987E18" w:rsidRDefault="00987E18" w:rsidP="00110DFA">
          <w:pPr>
            <w:pStyle w:val="Encabezado"/>
            <w:jc w:val="center"/>
          </w:pPr>
          <w:r>
            <w:t>Innovación SAC</w:t>
          </w:r>
        </w:p>
      </w:tc>
      <w:tc>
        <w:tcPr>
          <w:tcW w:w="5387" w:type="dxa"/>
        </w:tcPr>
        <w:p w:rsidR="00987E18" w:rsidRDefault="00987E18" w:rsidP="00A43FA1">
          <w:pPr>
            <w:pStyle w:val="Encabezado"/>
            <w:jc w:val="center"/>
          </w:pPr>
          <w:r>
            <w:t xml:space="preserve">PLAN DE GESTION DE </w:t>
          </w:r>
        </w:p>
        <w:p w:rsidR="00987E18" w:rsidRDefault="00987E18" w:rsidP="00110DFA">
          <w:pPr>
            <w:pStyle w:val="Encabezado"/>
            <w:jc w:val="center"/>
          </w:pPr>
          <w:r>
            <w:t>LA CONFIGURACION DE SOFTWARE</w:t>
          </w:r>
        </w:p>
      </w:tc>
      <w:tc>
        <w:tcPr>
          <w:tcW w:w="1745" w:type="dxa"/>
        </w:tcPr>
        <w:p w:rsidR="00987E18" w:rsidRDefault="00987E18" w:rsidP="00110DFA">
          <w:pPr>
            <w:pStyle w:val="Encabezado"/>
            <w:jc w:val="center"/>
          </w:pPr>
          <w:r>
            <w:t>Versión 1.3</w:t>
          </w:r>
        </w:p>
        <w:p w:rsidR="00987E18" w:rsidRDefault="00987E18" w:rsidP="00457B44">
          <w:pPr>
            <w:pStyle w:val="Encabezado"/>
            <w:jc w:val="center"/>
          </w:pPr>
          <w:r>
            <w:t>02.10.2015</w:t>
          </w:r>
        </w:p>
      </w:tc>
    </w:tr>
  </w:tbl>
  <w:p w:rsidR="00987E18" w:rsidRDefault="00987E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1">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2">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0"/>
  </w:num>
  <w:num w:numId="5">
    <w:abstractNumId w:val="15"/>
  </w:num>
  <w:num w:numId="6">
    <w:abstractNumId w:val="3"/>
  </w:num>
  <w:num w:numId="7">
    <w:abstractNumId w:val="2"/>
  </w:num>
  <w:num w:numId="8">
    <w:abstractNumId w:val="4"/>
  </w:num>
  <w:num w:numId="9">
    <w:abstractNumId w:val="8"/>
  </w:num>
  <w:num w:numId="10">
    <w:abstractNumId w:val="1"/>
  </w:num>
  <w:num w:numId="11">
    <w:abstractNumId w:val="5"/>
  </w:num>
  <w:num w:numId="12">
    <w:abstractNumId w:val="10"/>
  </w:num>
  <w:num w:numId="13">
    <w:abstractNumId w:val="13"/>
  </w:num>
  <w:num w:numId="14">
    <w:abstractNumId w:val="16"/>
  </w:num>
  <w:num w:numId="15">
    <w:abstractNumId w:val="1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45DD7"/>
    <w:rsid w:val="000771DA"/>
    <w:rsid w:val="00095C9D"/>
    <w:rsid w:val="000B25B9"/>
    <w:rsid w:val="000E69D4"/>
    <w:rsid w:val="000E7F25"/>
    <w:rsid w:val="000F08E4"/>
    <w:rsid w:val="000F2C24"/>
    <w:rsid w:val="00110DFA"/>
    <w:rsid w:val="001306C9"/>
    <w:rsid w:val="001318AF"/>
    <w:rsid w:val="0014149B"/>
    <w:rsid w:val="00153280"/>
    <w:rsid w:val="00171CD7"/>
    <w:rsid w:val="001906F8"/>
    <w:rsid w:val="001930B3"/>
    <w:rsid w:val="001A52FA"/>
    <w:rsid w:val="001C0A48"/>
    <w:rsid w:val="001F6DE9"/>
    <w:rsid w:val="00224B5C"/>
    <w:rsid w:val="00232425"/>
    <w:rsid w:val="00233BFF"/>
    <w:rsid w:val="002748AC"/>
    <w:rsid w:val="00284B3A"/>
    <w:rsid w:val="002E5E75"/>
    <w:rsid w:val="003171E4"/>
    <w:rsid w:val="00363724"/>
    <w:rsid w:val="0037616D"/>
    <w:rsid w:val="003851D8"/>
    <w:rsid w:val="003869EC"/>
    <w:rsid w:val="00392D35"/>
    <w:rsid w:val="004175FD"/>
    <w:rsid w:val="0044266D"/>
    <w:rsid w:val="0044336F"/>
    <w:rsid w:val="00450881"/>
    <w:rsid w:val="00457B44"/>
    <w:rsid w:val="00467B8C"/>
    <w:rsid w:val="00486685"/>
    <w:rsid w:val="0048696A"/>
    <w:rsid w:val="004A19EE"/>
    <w:rsid w:val="004B7B41"/>
    <w:rsid w:val="004C71A4"/>
    <w:rsid w:val="004E2F0F"/>
    <w:rsid w:val="00502AE4"/>
    <w:rsid w:val="00517C67"/>
    <w:rsid w:val="00527428"/>
    <w:rsid w:val="00534FB8"/>
    <w:rsid w:val="00537BDC"/>
    <w:rsid w:val="005533C9"/>
    <w:rsid w:val="00575B95"/>
    <w:rsid w:val="00576159"/>
    <w:rsid w:val="005A16FD"/>
    <w:rsid w:val="005A75B8"/>
    <w:rsid w:val="005B1954"/>
    <w:rsid w:val="005B515C"/>
    <w:rsid w:val="005C2041"/>
    <w:rsid w:val="005C6A8F"/>
    <w:rsid w:val="005D6F50"/>
    <w:rsid w:val="005F1E8F"/>
    <w:rsid w:val="005F6E11"/>
    <w:rsid w:val="006128A4"/>
    <w:rsid w:val="00620C56"/>
    <w:rsid w:val="006403F6"/>
    <w:rsid w:val="00645F2C"/>
    <w:rsid w:val="00665608"/>
    <w:rsid w:val="00666308"/>
    <w:rsid w:val="00674E5A"/>
    <w:rsid w:val="00681B68"/>
    <w:rsid w:val="006C01EC"/>
    <w:rsid w:val="006C5FEB"/>
    <w:rsid w:val="006E5794"/>
    <w:rsid w:val="006E7380"/>
    <w:rsid w:val="0070153C"/>
    <w:rsid w:val="00721DFD"/>
    <w:rsid w:val="007227FD"/>
    <w:rsid w:val="00723F80"/>
    <w:rsid w:val="007437F6"/>
    <w:rsid w:val="00745E95"/>
    <w:rsid w:val="007545DB"/>
    <w:rsid w:val="00776B45"/>
    <w:rsid w:val="0078421E"/>
    <w:rsid w:val="007B2FFD"/>
    <w:rsid w:val="007C67EA"/>
    <w:rsid w:val="007D311D"/>
    <w:rsid w:val="007E552E"/>
    <w:rsid w:val="008116EA"/>
    <w:rsid w:val="00823657"/>
    <w:rsid w:val="0083419E"/>
    <w:rsid w:val="00846E37"/>
    <w:rsid w:val="008474BA"/>
    <w:rsid w:val="008524F9"/>
    <w:rsid w:val="00857190"/>
    <w:rsid w:val="00875DC5"/>
    <w:rsid w:val="00894BE6"/>
    <w:rsid w:val="008B7D17"/>
    <w:rsid w:val="008C01A9"/>
    <w:rsid w:val="008D29D5"/>
    <w:rsid w:val="008F592F"/>
    <w:rsid w:val="00904E4E"/>
    <w:rsid w:val="00917FA6"/>
    <w:rsid w:val="00937C85"/>
    <w:rsid w:val="00945CBF"/>
    <w:rsid w:val="00981B84"/>
    <w:rsid w:val="00987E18"/>
    <w:rsid w:val="009A7E6F"/>
    <w:rsid w:val="00A32656"/>
    <w:rsid w:val="00A37F58"/>
    <w:rsid w:val="00A403BE"/>
    <w:rsid w:val="00A43FA1"/>
    <w:rsid w:val="00A50BDC"/>
    <w:rsid w:val="00A525F2"/>
    <w:rsid w:val="00A676B9"/>
    <w:rsid w:val="00A90421"/>
    <w:rsid w:val="00A92E17"/>
    <w:rsid w:val="00AB2380"/>
    <w:rsid w:val="00AC7768"/>
    <w:rsid w:val="00AD52C7"/>
    <w:rsid w:val="00AD694F"/>
    <w:rsid w:val="00AE21BF"/>
    <w:rsid w:val="00B050A1"/>
    <w:rsid w:val="00B16B84"/>
    <w:rsid w:val="00B23C7E"/>
    <w:rsid w:val="00B41665"/>
    <w:rsid w:val="00B50C45"/>
    <w:rsid w:val="00B53C34"/>
    <w:rsid w:val="00B6208C"/>
    <w:rsid w:val="00B76747"/>
    <w:rsid w:val="00B86502"/>
    <w:rsid w:val="00BA525D"/>
    <w:rsid w:val="00BE320D"/>
    <w:rsid w:val="00BE3332"/>
    <w:rsid w:val="00BF077D"/>
    <w:rsid w:val="00BF5082"/>
    <w:rsid w:val="00BF6E29"/>
    <w:rsid w:val="00C40204"/>
    <w:rsid w:val="00C41D7C"/>
    <w:rsid w:val="00C4678C"/>
    <w:rsid w:val="00C55BAB"/>
    <w:rsid w:val="00C72EE7"/>
    <w:rsid w:val="00C8058B"/>
    <w:rsid w:val="00CA1049"/>
    <w:rsid w:val="00CA11B3"/>
    <w:rsid w:val="00CA2B97"/>
    <w:rsid w:val="00CB1AF9"/>
    <w:rsid w:val="00CB6986"/>
    <w:rsid w:val="00CD5006"/>
    <w:rsid w:val="00CD5AFC"/>
    <w:rsid w:val="00CF550E"/>
    <w:rsid w:val="00D2115F"/>
    <w:rsid w:val="00D26CE7"/>
    <w:rsid w:val="00D32FC7"/>
    <w:rsid w:val="00D47808"/>
    <w:rsid w:val="00D52BDE"/>
    <w:rsid w:val="00D758B1"/>
    <w:rsid w:val="00DC1E24"/>
    <w:rsid w:val="00DC51F5"/>
    <w:rsid w:val="00DE0EA2"/>
    <w:rsid w:val="00DE298C"/>
    <w:rsid w:val="00DE66C2"/>
    <w:rsid w:val="00E02447"/>
    <w:rsid w:val="00E31654"/>
    <w:rsid w:val="00E50936"/>
    <w:rsid w:val="00E55F49"/>
    <w:rsid w:val="00E565DE"/>
    <w:rsid w:val="00E67704"/>
    <w:rsid w:val="00E704CA"/>
    <w:rsid w:val="00E87CD7"/>
    <w:rsid w:val="00E94328"/>
    <w:rsid w:val="00ED50DF"/>
    <w:rsid w:val="00F164C5"/>
    <w:rsid w:val="00F348C6"/>
    <w:rsid w:val="00F362EA"/>
    <w:rsid w:val="00F43F7F"/>
    <w:rsid w:val="00F46909"/>
    <w:rsid w:val="00FB7302"/>
    <w:rsid w:val="00FC2D36"/>
    <w:rsid w:val="00FC3315"/>
    <w:rsid w:val="00FC6DDD"/>
    <w:rsid w:val="00FD2A5C"/>
    <w:rsid w:val="00FE15A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Real_Academia_de_Ingenier%C3%ADa_de_Espa%C3%B1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5BDA0-B0BB-4ABE-B479-34CF50F3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20</Pages>
  <Words>3609</Words>
  <Characters>19850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166</cp:revision>
  <dcterms:created xsi:type="dcterms:W3CDTF">2015-09-04T13:03:00Z</dcterms:created>
  <dcterms:modified xsi:type="dcterms:W3CDTF">2015-10-10T04:38:00Z</dcterms:modified>
</cp:coreProperties>
</file>