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85"/>
        <w:gridCol w:w="1422"/>
        <w:gridCol w:w="1782"/>
        <w:gridCol w:w="1871"/>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9C7884">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9C7884">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9C7884">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B2FFD"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417019" w:history="1">
            <w:r w:rsidR="007B2FFD" w:rsidRPr="004F07F8">
              <w:rPr>
                <w:rStyle w:val="Hipervnculo"/>
                <w:noProof/>
              </w:rPr>
              <w:t>1.</w:t>
            </w:r>
            <w:r w:rsidR="007B2FFD">
              <w:rPr>
                <w:rFonts w:asciiTheme="minorHAnsi" w:eastAsiaTheme="minorEastAsia" w:hAnsiTheme="minorHAnsi" w:cstheme="minorBidi"/>
                <w:noProof/>
                <w:sz w:val="22"/>
                <w:szCs w:val="22"/>
                <w:lang w:eastAsia="es-PE"/>
              </w:rPr>
              <w:tab/>
            </w:r>
            <w:r w:rsidR="007B2FFD" w:rsidRPr="004F07F8">
              <w:rPr>
                <w:rStyle w:val="Hipervnculo"/>
                <w:noProof/>
              </w:rPr>
              <w:t>INTRODUCCION</w:t>
            </w:r>
            <w:r w:rsidR="007B2FFD">
              <w:rPr>
                <w:noProof/>
                <w:webHidden/>
              </w:rPr>
              <w:tab/>
            </w:r>
            <w:r w:rsidR="007B2FFD">
              <w:rPr>
                <w:noProof/>
                <w:webHidden/>
              </w:rPr>
              <w:fldChar w:fldCharType="begin"/>
            </w:r>
            <w:r w:rsidR="007B2FFD">
              <w:rPr>
                <w:noProof/>
                <w:webHidden/>
              </w:rPr>
              <w:instrText xml:space="preserve"> PAGEREF _Toc430417019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0" w:history="1">
            <w:r w:rsidR="007B2FFD" w:rsidRPr="004F07F8">
              <w:rPr>
                <w:rStyle w:val="Hipervnculo"/>
                <w:noProof/>
              </w:rPr>
              <w:t>1.1.</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PROPOSITO</w:t>
            </w:r>
            <w:r w:rsidR="007B2FFD">
              <w:rPr>
                <w:noProof/>
                <w:webHidden/>
              </w:rPr>
              <w:tab/>
            </w:r>
            <w:r w:rsidR="007B2FFD">
              <w:rPr>
                <w:noProof/>
                <w:webHidden/>
              </w:rPr>
              <w:fldChar w:fldCharType="begin"/>
            </w:r>
            <w:r w:rsidR="007B2FFD">
              <w:rPr>
                <w:noProof/>
                <w:webHidden/>
              </w:rPr>
              <w:instrText xml:space="preserve"> PAGEREF _Toc430417020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1" w:history="1">
            <w:r w:rsidR="007B2FFD" w:rsidRPr="004F07F8">
              <w:rPr>
                <w:rStyle w:val="Hipervnculo"/>
                <w:noProof/>
                <w:lang w:val="en-US"/>
              </w:rPr>
              <w:t>1.2.</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APLICABILIDAD</w:t>
            </w:r>
            <w:r w:rsidR="007B2FFD">
              <w:rPr>
                <w:noProof/>
                <w:webHidden/>
              </w:rPr>
              <w:tab/>
            </w:r>
            <w:r w:rsidR="007B2FFD">
              <w:rPr>
                <w:noProof/>
                <w:webHidden/>
              </w:rPr>
              <w:fldChar w:fldCharType="begin"/>
            </w:r>
            <w:r w:rsidR="007B2FFD">
              <w:rPr>
                <w:noProof/>
                <w:webHidden/>
              </w:rPr>
              <w:instrText xml:space="preserve"> PAGEREF _Toc430417021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2" w:history="1">
            <w:r w:rsidR="007B2FFD" w:rsidRPr="004F07F8">
              <w:rPr>
                <w:rStyle w:val="Hipervnculo"/>
                <w:noProof/>
              </w:rPr>
              <w:t>1.3.</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ALCANCE</w:t>
            </w:r>
            <w:r w:rsidR="007B2FFD">
              <w:rPr>
                <w:noProof/>
                <w:webHidden/>
              </w:rPr>
              <w:tab/>
            </w:r>
            <w:r w:rsidR="007B2FFD">
              <w:rPr>
                <w:noProof/>
                <w:webHidden/>
              </w:rPr>
              <w:fldChar w:fldCharType="begin"/>
            </w:r>
            <w:r w:rsidR="007B2FFD">
              <w:rPr>
                <w:noProof/>
                <w:webHidden/>
              </w:rPr>
              <w:instrText xml:space="preserve"> PAGEREF _Toc430417022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3" w:history="1">
            <w:r w:rsidR="007B2FFD" w:rsidRPr="004F07F8">
              <w:rPr>
                <w:rStyle w:val="Hipervnculo"/>
                <w:noProof/>
              </w:rPr>
              <w:t>1.4.</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DEFINICIONES</w:t>
            </w:r>
            <w:r w:rsidR="007B2FFD">
              <w:rPr>
                <w:noProof/>
                <w:webHidden/>
              </w:rPr>
              <w:tab/>
            </w:r>
            <w:r w:rsidR="007B2FFD">
              <w:rPr>
                <w:noProof/>
                <w:webHidden/>
              </w:rPr>
              <w:fldChar w:fldCharType="begin"/>
            </w:r>
            <w:r w:rsidR="007B2FFD">
              <w:rPr>
                <w:noProof/>
                <w:webHidden/>
              </w:rPr>
              <w:instrText xml:space="preserve"> PAGEREF _Toc430417023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4" w:history="1">
            <w:r w:rsidR="007B2FFD" w:rsidRPr="004F07F8">
              <w:rPr>
                <w:rStyle w:val="Hipervnculo"/>
                <w:noProof/>
              </w:rPr>
              <w:t>1.5.</w:t>
            </w:r>
            <w:r w:rsidR="007B2FFD">
              <w:rPr>
                <w:rFonts w:asciiTheme="minorHAnsi" w:eastAsiaTheme="minorEastAsia" w:hAnsiTheme="minorHAnsi" w:cstheme="minorBidi"/>
                <w:noProof/>
                <w:sz w:val="22"/>
                <w:szCs w:val="22"/>
                <w:lang w:eastAsia="es-PE"/>
              </w:rPr>
              <w:tab/>
            </w:r>
            <w:r w:rsidR="007B2FFD" w:rsidRPr="004F07F8">
              <w:rPr>
                <w:rStyle w:val="Hipervnculo"/>
                <w:noProof/>
              </w:rPr>
              <w:t>REFERENCIAS</w:t>
            </w:r>
            <w:r w:rsidR="007B2FFD">
              <w:rPr>
                <w:noProof/>
                <w:webHidden/>
              </w:rPr>
              <w:tab/>
            </w:r>
            <w:r w:rsidR="007B2FFD">
              <w:rPr>
                <w:noProof/>
                <w:webHidden/>
              </w:rPr>
              <w:fldChar w:fldCharType="begin"/>
            </w:r>
            <w:r w:rsidR="007B2FFD">
              <w:rPr>
                <w:noProof/>
                <w:webHidden/>
              </w:rPr>
              <w:instrText xml:space="preserve"> PAGEREF _Toc430417024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2748A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417025" w:history="1">
            <w:r w:rsidR="007B2FFD" w:rsidRPr="004F07F8">
              <w:rPr>
                <w:rStyle w:val="Hipervnculo"/>
                <w:noProof/>
              </w:rPr>
              <w:t>2.</w:t>
            </w:r>
            <w:r w:rsidR="007B2FFD">
              <w:rPr>
                <w:rFonts w:asciiTheme="minorHAnsi" w:eastAsiaTheme="minorEastAsia" w:hAnsiTheme="minorHAnsi" w:cstheme="minorBidi"/>
                <w:noProof/>
                <w:sz w:val="22"/>
                <w:szCs w:val="22"/>
                <w:lang w:eastAsia="es-PE"/>
              </w:rPr>
              <w:tab/>
            </w:r>
            <w:r w:rsidR="007B2FFD" w:rsidRPr="004F07F8">
              <w:rPr>
                <w:rStyle w:val="Hipervnculo"/>
                <w:noProof/>
              </w:rPr>
              <w:t>GESTION DE CONFIGURACION DEL SOFTWARE (SCM)</w:t>
            </w:r>
            <w:r w:rsidR="007B2FFD">
              <w:rPr>
                <w:noProof/>
                <w:webHidden/>
              </w:rPr>
              <w:tab/>
            </w:r>
            <w:r w:rsidR="007B2FFD">
              <w:rPr>
                <w:noProof/>
                <w:webHidden/>
              </w:rPr>
              <w:fldChar w:fldCharType="begin"/>
            </w:r>
            <w:r w:rsidR="007B2FFD">
              <w:rPr>
                <w:noProof/>
                <w:webHidden/>
              </w:rPr>
              <w:instrText xml:space="preserve"> PAGEREF _Toc430417025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6" w:history="1">
            <w:r w:rsidR="007B2FFD" w:rsidRPr="004F07F8">
              <w:rPr>
                <w:rStyle w:val="Hipervnculo"/>
                <w:noProof/>
              </w:rPr>
              <w:t>2.1.</w:t>
            </w:r>
            <w:r w:rsidR="007B2FFD">
              <w:rPr>
                <w:rFonts w:asciiTheme="minorHAnsi" w:eastAsiaTheme="minorEastAsia" w:hAnsiTheme="minorHAnsi" w:cstheme="minorBidi"/>
                <w:noProof/>
                <w:sz w:val="22"/>
                <w:szCs w:val="22"/>
                <w:lang w:eastAsia="es-PE"/>
              </w:rPr>
              <w:tab/>
            </w:r>
            <w:r w:rsidR="007B2FFD" w:rsidRPr="004F07F8">
              <w:rPr>
                <w:rStyle w:val="Hipervnculo"/>
                <w:noProof/>
              </w:rPr>
              <w:t>ORGANIZACIÓN DE SCM.</w:t>
            </w:r>
            <w:r w:rsidR="007B2FFD">
              <w:rPr>
                <w:noProof/>
                <w:webHidden/>
              </w:rPr>
              <w:tab/>
            </w:r>
            <w:r w:rsidR="007B2FFD">
              <w:rPr>
                <w:noProof/>
                <w:webHidden/>
              </w:rPr>
              <w:fldChar w:fldCharType="begin"/>
            </w:r>
            <w:r w:rsidR="007B2FFD">
              <w:rPr>
                <w:noProof/>
                <w:webHidden/>
              </w:rPr>
              <w:instrText xml:space="preserve"> PAGEREF _Toc430417026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2748A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7" w:history="1">
            <w:r w:rsidR="007B2FFD" w:rsidRPr="004F07F8">
              <w:rPr>
                <w:rStyle w:val="Hipervnculo"/>
                <w:noProof/>
              </w:rPr>
              <w:t>2.2.</w:t>
            </w:r>
            <w:r w:rsidR="007B2FFD">
              <w:rPr>
                <w:rFonts w:asciiTheme="minorHAnsi" w:eastAsiaTheme="minorEastAsia" w:hAnsiTheme="minorHAnsi" w:cstheme="minorBidi"/>
                <w:noProof/>
                <w:sz w:val="22"/>
                <w:szCs w:val="22"/>
                <w:lang w:eastAsia="es-PE"/>
              </w:rPr>
              <w:tab/>
            </w:r>
            <w:r w:rsidR="007B2FFD" w:rsidRPr="004F07F8">
              <w:rPr>
                <w:rStyle w:val="Hipervnculo"/>
                <w:noProof/>
              </w:rPr>
              <w:t>RESPONSABILIDADES DE SCM.</w:t>
            </w:r>
            <w:r w:rsidR="007B2FFD">
              <w:rPr>
                <w:noProof/>
                <w:webHidden/>
              </w:rPr>
              <w:tab/>
            </w:r>
            <w:r w:rsidR="007B2FFD">
              <w:rPr>
                <w:noProof/>
                <w:webHidden/>
              </w:rPr>
              <w:fldChar w:fldCharType="begin"/>
            </w:r>
            <w:r w:rsidR="007B2FFD">
              <w:rPr>
                <w:noProof/>
                <w:webHidden/>
              </w:rPr>
              <w:instrText xml:space="preserve"> PAGEREF _Toc430417027 \h </w:instrText>
            </w:r>
            <w:r w:rsidR="007B2FFD">
              <w:rPr>
                <w:noProof/>
                <w:webHidden/>
              </w:rPr>
            </w:r>
            <w:r w:rsidR="007B2FFD">
              <w:rPr>
                <w:noProof/>
                <w:webHidden/>
              </w:rPr>
              <w:fldChar w:fldCharType="separate"/>
            </w:r>
            <w:r w:rsidR="007B2FFD">
              <w:rPr>
                <w:noProof/>
                <w:webHidden/>
              </w:rPr>
              <w:t>6</w:t>
            </w:r>
            <w:r w:rsidR="007B2FFD">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0" w:name="_Toc430417019"/>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417020"/>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417021"/>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417022"/>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417023"/>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417024"/>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2748AC"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417025"/>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30417026"/>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bookmarkStart w:id="8" w:name="_GoBack"/>
      <w:bookmarkEnd w:id="8"/>
      <w:r w:rsidR="00846E37">
        <w:t>es:</w:t>
      </w:r>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287pt" o:ole="">
            <v:imagedata r:id="rId12" o:title=""/>
          </v:shape>
          <o:OLEObject Type="Embed" ProgID="Visio.Drawing.11" ShapeID="_x0000_i1025" DrawAspect="Content" ObjectID="_1504247602"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9" w:name="_Toc430417027"/>
      <w:r>
        <w:t>RESPONSABILIDADES DE SCM.</w:t>
      </w:r>
      <w:bookmarkEnd w:id="9"/>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8AC" w:rsidRDefault="002748AC" w:rsidP="00A43FA1">
      <w:r>
        <w:separator/>
      </w:r>
    </w:p>
  </w:endnote>
  <w:endnote w:type="continuationSeparator" w:id="0">
    <w:p w:rsidR="002748AC" w:rsidRDefault="002748AC"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846E37" w:rsidRPr="00846E37">
          <w:rPr>
            <w:noProof/>
            <w:lang w:val="es-ES"/>
          </w:rPr>
          <w:t>5</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8AC" w:rsidRDefault="002748AC" w:rsidP="00A43FA1">
      <w:r>
        <w:separator/>
      </w:r>
    </w:p>
  </w:footnote>
  <w:footnote w:type="continuationSeparator" w:id="0">
    <w:p w:rsidR="002748AC" w:rsidRDefault="002748AC"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450881" w:rsidP="00110DFA">
          <w:pPr>
            <w:pStyle w:val="Encabezado"/>
            <w:jc w:val="center"/>
          </w:pPr>
          <w:r>
            <w:t>Versión 1.1</w:t>
          </w:r>
        </w:p>
        <w:p w:rsidR="000226E6" w:rsidRDefault="00450881" w:rsidP="00110DFA">
          <w:pPr>
            <w:pStyle w:val="Encabezado"/>
            <w:jc w:val="center"/>
          </w:pPr>
          <w:r>
            <w:t>20</w:t>
          </w:r>
          <w:r w:rsidR="000226E6">
            <w:t>.09.2015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771DA"/>
    <w:rsid w:val="000E7F25"/>
    <w:rsid w:val="000F08E4"/>
    <w:rsid w:val="000F2C24"/>
    <w:rsid w:val="00110DFA"/>
    <w:rsid w:val="001306C9"/>
    <w:rsid w:val="001318AF"/>
    <w:rsid w:val="00153280"/>
    <w:rsid w:val="001906F8"/>
    <w:rsid w:val="001A52FA"/>
    <w:rsid w:val="001C0A48"/>
    <w:rsid w:val="00232425"/>
    <w:rsid w:val="00233BFF"/>
    <w:rsid w:val="002748AC"/>
    <w:rsid w:val="00284B3A"/>
    <w:rsid w:val="002E5E75"/>
    <w:rsid w:val="00363724"/>
    <w:rsid w:val="0037616D"/>
    <w:rsid w:val="003869EC"/>
    <w:rsid w:val="00392D35"/>
    <w:rsid w:val="004175FD"/>
    <w:rsid w:val="00450881"/>
    <w:rsid w:val="00467B8C"/>
    <w:rsid w:val="0048696A"/>
    <w:rsid w:val="004A19EE"/>
    <w:rsid w:val="004E2F0F"/>
    <w:rsid w:val="00502AE4"/>
    <w:rsid w:val="00517C67"/>
    <w:rsid w:val="00527428"/>
    <w:rsid w:val="00576159"/>
    <w:rsid w:val="005A75B8"/>
    <w:rsid w:val="005C2041"/>
    <w:rsid w:val="005F1E8F"/>
    <w:rsid w:val="006128A4"/>
    <w:rsid w:val="00620C56"/>
    <w:rsid w:val="00645F2C"/>
    <w:rsid w:val="00665608"/>
    <w:rsid w:val="006C01EC"/>
    <w:rsid w:val="006C5FEB"/>
    <w:rsid w:val="006E7380"/>
    <w:rsid w:val="007227FD"/>
    <w:rsid w:val="00723F80"/>
    <w:rsid w:val="007437F6"/>
    <w:rsid w:val="00745E95"/>
    <w:rsid w:val="007545DB"/>
    <w:rsid w:val="007B2FFD"/>
    <w:rsid w:val="007D311D"/>
    <w:rsid w:val="008116EA"/>
    <w:rsid w:val="00846E37"/>
    <w:rsid w:val="00857190"/>
    <w:rsid w:val="00875DC5"/>
    <w:rsid w:val="00894BE6"/>
    <w:rsid w:val="00917FA6"/>
    <w:rsid w:val="00937C85"/>
    <w:rsid w:val="00945CBF"/>
    <w:rsid w:val="00A43FA1"/>
    <w:rsid w:val="00A92E17"/>
    <w:rsid w:val="00AB2380"/>
    <w:rsid w:val="00AC7768"/>
    <w:rsid w:val="00AD52C7"/>
    <w:rsid w:val="00B050A1"/>
    <w:rsid w:val="00B23C7E"/>
    <w:rsid w:val="00B41665"/>
    <w:rsid w:val="00B50C45"/>
    <w:rsid w:val="00B6208C"/>
    <w:rsid w:val="00BA525D"/>
    <w:rsid w:val="00C40204"/>
    <w:rsid w:val="00CA2B97"/>
    <w:rsid w:val="00CB1AF9"/>
    <w:rsid w:val="00CD5006"/>
    <w:rsid w:val="00CD5AFC"/>
    <w:rsid w:val="00D26CE7"/>
    <w:rsid w:val="00D52BDE"/>
    <w:rsid w:val="00DC1E24"/>
    <w:rsid w:val="00DC51F5"/>
    <w:rsid w:val="00DE0EA2"/>
    <w:rsid w:val="00DE298C"/>
    <w:rsid w:val="00DE66C2"/>
    <w:rsid w:val="00E31654"/>
    <w:rsid w:val="00E565DE"/>
    <w:rsid w:val="00E94328"/>
    <w:rsid w:val="00ED50DF"/>
    <w:rsid w:val="00F164C5"/>
    <w:rsid w:val="00F43F7F"/>
    <w:rsid w:val="00FB7302"/>
    <w:rsid w:val="00FC3315"/>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BA9DC-C02E-40E1-B281-400EEA7F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7</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79</cp:revision>
  <dcterms:created xsi:type="dcterms:W3CDTF">2015-09-04T13:03:00Z</dcterms:created>
  <dcterms:modified xsi:type="dcterms:W3CDTF">2015-09-20T14:47:00Z</dcterms:modified>
</cp:coreProperties>
</file>