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PROGRAMS &amp; PRICING</w:t>
      </w:r>
    </w:p>
    <w:p>
      <w:pPr>
        <w:jc w:val="center"/>
      </w:pPr>
      <w:r>
        <w:rPr>
          <w:b/>
          <w:sz w:val="30"/>
        </w:rPr>
        <w:t>Shakti Yoga Kendra — Detailed Reference</w:t>
      </w:r>
    </w:p>
    <w:p>
      <w:pPr>
        <w:jc w:val="center"/>
      </w:pPr>
      <w:r>
        <w:rPr>
          <w:i/>
        </w:rPr>
        <w:t>Companion document to the Product Requirements Document (PRD)</w:t>
      </w:r>
    </w:p>
    <w:p/>
    <w:p>
      <w:pPr>
        <w:pStyle w:val="Heading1"/>
      </w:pPr>
      <w:r>
        <w:t>1. Purpose of This Document</w:t>
      </w:r>
    </w:p>
    <w:p>
      <w:r>
        <w:t>This document expands the Programs &amp; Pricing section of the master PRD into a detailed reference for billing logic, renewal behavior, and cross-border pricing. It exists so engineering, payments integration, support, and finance share one precise understanding of how a membership cycle behaves from purchase through renewal, lapse, or cancellation — and why each rule was chosen, not just what the rule is.</w:t>
      </w:r>
    </w:p>
    <w:p>
      <w:pPr>
        <w:pStyle w:val="Heading1"/>
      </w:pPr>
      <w:r>
        <w:t>2. Programs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India</w:t>
            </w:r>
          </w:p>
        </w:tc>
        <w:tc>
          <w:tcPr>
            <w:tcW w:type="dxa" w:w="1987"/>
          </w:tcPr>
          <w:p>
            <w:r>
              <w:rPr>
                <w:b/>
              </w:rPr>
              <w:t>International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Sessions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Core Model</w:t>
            </w:r>
          </w:p>
        </w:tc>
      </w:tr>
      <w:tr>
        <w:tc>
          <w:tcPr>
            <w:tcW w:type="dxa" w:w="1987"/>
          </w:tcPr>
          <w:p>
            <w:r>
              <w:t>Everyday Yoga</w:t>
            </w:r>
          </w:p>
        </w:tc>
        <w:tc>
          <w:tcPr>
            <w:tcW w:type="dxa" w:w="1987"/>
          </w:tcPr>
          <w:p>
            <w:r>
              <w:t>₹2,000 / billing cycle</w:t>
            </w:r>
          </w:p>
        </w:tc>
        <w:tc>
          <w:tcPr>
            <w:tcW w:type="dxa" w:w="1987"/>
          </w:tcPr>
          <w:p>
            <w:r>
              <w:t>$59 / billing cycle</w:t>
            </w:r>
          </w:p>
        </w:tc>
        <w:tc>
          <w:tcPr>
            <w:tcW w:type="dxa" w:w="1987"/>
          </w:tcPr>
          <w:p>
            <w:r>
              <w:t>20 live group sessions</w:t>
            </w:r>
          </w:p>
        </w:tc>
        <w:tc>
          <w:tcPr>
            <w:tcW w:type="dxa" w:w="1987"/>
          </w:tcPr>
          <w:p>
            <w:r>
              <w:t>Flexible batch choice; fixed weekday timetable</w:t>
            </w:r>
          </w:p>
        </w:tc>
      </w:tr>
      <w:tr>
        <w:tc>
          <w:tcPr>
            <w:tcW w:type="dxa" w:w="1987"/>
          </w:tcPr>
          <w:p>
            <w:r>
              <w:t>Yoga Therapy</w:t>
            </w:r>
          </w:p>
        </w:tc>
        <w:tc>
          <w:tcPr>
            <w:tcW w:type="dxa" w:w="1987"/>
          </w:tcPr>
          <w:p>
            <w:r>
              <w:t>₹5,000 / billing cycle</w:t>
            </w:r>
          </w:p>
        </w:tc>
        <w:tc>
          <w:tcPr>
            <w:tcW w:type="dxa" w:w="1987"/>
          </w:tcPr>
          <w:p>
            <w:r>
              <w:t>$120 / billing cycle</w:t>
            </w:r>
          </w:p>
        </w:tc>
        <w:tc>
          <w:tcPr>
            <w:tcW w:type="dxa" w:w="1987"/>
          </w:tcPr>
          <w:p>
            <w:r>
              <w:t>20 live individual monitored sessions</w:t>
            </w:r>
          </w:p>
        </w:tc>
        <w:tc>
          <w:tcPr>
            <w:tcW w:type="dxa" w:w="1987"/>
          </w:tcPr>
          <w:p>
            <w:r>
              <w:t>Assessment + consultation + assigned therapist</w:t>
            </w:r>
          </w:p>
        </w:tc>
      </w:tr>
    </w:tbl>
    <w:p>
      <w:r>
        <w:t>Both programs are priced and structured around the same underlying unit: a personal 30-day billing cycle carrying 20 live sessions. The programs diverge sharply in delivery model — Everyday Yoga is flexible and self-directed within a fixed group timetable; Yoga Therapy is centrally scheduled and individually monitored — but the billing mechanics beneath them are deliberately unified so the platform only needs one subscription engine.</w:t>
      </w:r>
    </w:p>
    <w:p>
      <w:pPr>
        <w:pStyle w:val="Heading1"/>
      </w:pPr>
      <w:r>
        <w:t>3. Billing Cycle Mechanics</w:t>
      </w:r>
    </w:p>
    <w:p>
      <w:pPr>
        <w:pStyle w:val="Heading2"/>
      </w:pPr>
      <w:r>
        <w:t>3.1 Personal 30-Day Cycle</w:t>
      </w:r>
    </w:p>
    <w:p>
      <w:r>
        <w:rPr>
          <w:i/>
        </w:rPr>
        <w:t>Billing cycle: personal 30-day/billing cycle, starting from each student's own payment date.</w:t>
      </w:r>
    </w:p>
    <w:p>
      <w:r>
        <w:rPr>
          <w:b/>
        </w:rPr>
        <w:t>Why:</w:t>
      </w:r>
    </w:p>
    <w:p>
      <w:r>
        <w:t>A personal (rather than calendar-month) cycle means every student's renewal date is anchored to when they actually paid, not a shared calendar boundary. This keeps billing logic simple and avoids prorating partial months when someone joins mid-month.</w:t>
      </w:r>
    </w:p>
    <w:p>
      <w:r>
        <w:rPr>
          <w:b/>
        </w:rPr>
        <w:t>Implications:</w:t>
      </w:r>
    </w:p>
    <w:p>
      <w:pPr>
        <w:pStyle w:val="ListBullet"/>
      </w:pPr>
      <w:r>
        <w:t>Each student has an independently tracked cycle start/end date.</w:t>
      </w:r>
    </w:p>
    <w:p>
      <w:pPr>
        <w:pStyle w:val="ListBullet"/>
      </w:pPr>
      <w:r>
        <w:t>No proration logic is needed anywhere in the system.</w:t>
      </w:r>
    </w:p>
    <w:p>
      <w:pPr>
        <w:pStyle w:val="ListBullet"/>
      </w:pPr>
      <w:r>
        <w:t>Renewal reminders and expiry checks run per-student, not on a shared monthly batch job.</w:t>
      </w:r>
    </w:p>
    <w:p>
      <w:pPr>
        <w:pStyle w:val="Heading2"/>
      </w:pPr>
      <w:r>
        <w:t>3.2 Sessions Expire, No Carry-Forward</w:t>
      </w:r>
    </w:p>
    <w:p>
      <w:r>
        <w:rPr>
          <w:i/>
        </w:rPr>
        <w:t>Unused sessions expire at the end of the cycle and never carry forward.</w:t>
      </w:r>
    </w:p>
    <w:p>
      <w:r>
        <w:rPr>
          <w:b/>
        </w:rPr>
        <w:t>Why:</w:t>
      </w:r>
    </w:p>
    <w:p>
      <w:r>
        <w:t>Carry-forward would require tracking a growing, unbounded session balance per student and complicates both pricing fairness (heavy users vs. light users) and capacity planning for live classes. A hard reset each cycle keeps the value proposition simple: pay for a cycle, get 20 sessions, use them or lose them.</w:t>
      </w:r>
    </w:p>
    <w:p>
      <w:r>
        <w:rPr>
          <w:b/>
        </w:rPr>
        <w:t>Implications:</w:t>
      </w:r>
    </w:p>
    <w:p>
      <w:pPr>
        <w:pStyle w:val="ListBullet"/>
      </w:pPr>
      <w:r>
        <w:t>Session balance always resets to a fixed number (20) at the start of a new paid cycle — never accumulates.</w:t>
      </w:r>
    </w:p>
    <w:p>
      <w:pPr>
        <w:pStyle w:val="ListBullet"/>
      </w:pPr>
      <w:r>
        <w:t>Students should see remaining-session count prominently so the no-carry-forward rule doesn't surprise them.</w:t>
      </w:r>
    </w:p>
    <w:p>
      <w:pPr>
        <w:pStyle w:val="ListBullet"/>
      </w:pPr>
      <w:r>
        <w:t>Marketing and the pricing page must disclose this clearly to avoid disputes/refund requests.</w:t>
      </w:r>
    </w:p>
    <w:p>
      <w:pPr>
        <w:pStyle w:val="Heading1"/>
      </w:pPr>
      <w:r>
        <w:t>4. Renewal, Cancellation &amp; Payment Failure</w:t>
      </w:r>
    </w:p>
    <w:p>
      <w:pPr>
        <w:pStyle w:val="Heading2"/>
      </w:pPr>
      <w:r>
        <w:t>4.1 No Auto-Renewal</w:t>
      </w:r>
    </w:p>
    <w:p>
      <w:r>
        <w:rPr>
          <w:i/>
        </w:rPr>
        <w:t>Memberships do NOT auto-renew. Students manually renew each cycle. One push reminder is sent on the expiry day.</w:t>
      </w:r>
    </w:p>
    <w:p>
      <w:r>
        <w:rPr>
          <w:b/>
        </w:rPr>
        <w:t>Why:</w:t>
      </w:r>
    </w:p>
    <w:p>
      <w:r>
        <w:t>Manual renewal avoids surprise charges and disputes over unwanted auto-billing — an important trust consideration for a platform handling both domestic and international cards. It also means there is no dedicated involuntary-churn recovery flow beyond a single reminder, so the reminder timing and clarity matter more than they would with auto-pay.</w:t>
      </w:r>
    </w:p>
    <w:p>
      <w:r>
        <w:rPr>
          <w:b/>
        </w:rPr>
        <w:t>Implications:</w:t>
      </w:r>
    </w:p>
    <w:p>
      <w:pPr>
        <w:pStyle w:val="ListBullet"/>
      </w:pPr>
      <w:r>
        <w:t>No stored-payment-method auto-charge job is required.</w:t>
      </w:r>
    </w:p>
    <w:p>
      <w:pPr>
        <w:pStyle w:val="ListBullet"/>
      </w:pPr>
      <w:r>
        <w:t>The single expiry-day push notification is the only proactive renewal nudge in v1 — there is no escalating reminder sequence.</w:t>
      </w:r>
    </w:p>
    <w:p>
      <w:pPr>
        <w:pStyle w:val="ListBullet"/>
      </w:pPr>
      <w:r>
        <w:t>Because renewal is manual, a lapsed student's flow back in is identical to a fresh subscription purchase, just without repeating account creation.</w:t>
      </w:r>
    </w:p>
    <w:p>
      <w:pPr>
        <w:pStyle w:val="Heading2"/>
      </w:pPr>
      <w:r>
        <w:t>4.2 No Refunds Once a Cycle Starts</w:t>
      </w:r>
    </w:p>
    <w:p>
      <w:r>
        <w:rPr>
          <w:i/>
        </w:rPr>
        <w:t>No refunds once a membership cycle has started.</w:t>
      </w:r>
    </w:p>
    <w:p>
      <w:r>
        <w:rPr>
          <w:b/>
        </w:rPr>
        <w:t>Why:</w:t>
      </w:r>
    </w:p>
    <w:p>
      <w:r>
        <w:t>Once a cycle begins, all 20 sessions and therapist/scheduling capacity for that period are allocated. A partial-usage refund policy would require prorating session usage against price, which the platform deliberately avoids to keep billing logic and support decisions simple and consistent.</w:t>
      </w:r>
    </w:p>
    <w:p>
      <w:r>
        <w:rPr>
          <w:b/>
        </w:rPr>
        <w:t>Implications:</w:t>
      </w:r>
    </w:p>
    <w:p>
      <w:pPr>
        <w:pStyle w:val="ListBullet"/>
      </w:pPr>
      <w:r>
        <w:t>Support and finance need a clear, consistent script: no refunds mid-cycle, regardless of sessions used.</w:t>
      </w:r>
    </w:p>
    <w:p>
      <w:pPr>
        <w:pStyle w:val="ListBullet"/>
      </w:pPr>
      <w:r>
        <w:t>This rule should be visible on the pricing page and in the Refund &amp; Cancellation Policy before payment.</w:t>
      </w:r>
    </w:p>
    <w:p>
      <w:pPr>
        <w:pStyle w:val="Heading2"/>
      </w:pPr>
      <w:r>
        <w:t>4.3 Self-Service Cancellation</w:t>
      </w:r>
    </w:p>
    <w:p>
      <w:r>
        <w:rPr>
          <w:i/>
        </w:rPr>
        <w:t>Cancellation is self-service and takes effect at the end of the current paid cycle. There is no pause feature.</w:t>
      </w:r>
    </w:p>
    <w:p>
      <w:r>
        <w:rPr>
          <w:b/>
        </w:rPr>
        <w:t>Why:</w:t>
      </w:r>
    </w:p>
    <w:p>
      <w:r>
        <w:t>Letting students cancel without contacting support reduces operational load, and tying the effective date to cycle-end (rather than immediate) is consistent with the no-refund rule — a student keeps what they already paid for. Omitting a pause feature keeps the subscription state machine to two simple states (active/inactive) instead of three.</w:t>
      </w:r>
    </w:p>
    <w:p>
      <w:r>
        <w:rPr>
          <w:b/>
        </w:rPr>
        <w:t>Implications:</w:t>
      </w:r>
    </w:p>
    <w:p>
      <w:pPr>
        <w:pStyle w:val="ListBullet"/>
      </w:pPr>
      <w:r>
        <w:t>Cancelling mid-cycle does not lock access early — access continues until the paid cycle ends.</w:t>
      </w:r>
    </w:p>
    <w:p>
      <w:pPr>
        <w:pStyle w:val="ListBullet"/>
      </w:pPr>
      <w:r>
        <w:t>A cancelled account can still be reactivated by paying again, which is functionally identical to renewal after a lapse.</w:t>
      </w:r>
    </w:p>
    <w:p>
      <w:pPr>
        <w:pStyle w:val="Heading2"/>
      </w:pPr>
      <w:r>
        <w:t>4.4 Failed Renewal Payment</w:t>
      </w:r>
    </w:p>
    <w:p>
      <w:r>
        <w:rPr>
          <w:i/>
        </w:rPr>
        <w:t>Failed renewal payment: subscription becomes inactive immediately. Successful later payment automatically reactivates the subscription and starts a new cycle with 20 new sessions.</w:t>
      </w:r>
    </w:p>
    <w:p>
      <w:r>
        <w:rPr>
          <w:b/>
        </w:rPr>
        <w:t>Why:</w:t>
      </w:r>
    </w:p>
    <w:p>
      <w:r>
        <w:t>Immediate deactivation on failure keeps the access model unambiguous — there is no grace period to track or communicate. Because reactivation is just "pay again," the system doesn't need a separate recovery or grace-period state; a successful payment at any point simply starts a fresh cycle.</w:t>
      </w:r>
    </w:p>
    <w:p>
      <w:r>
        <w:rPr>
          <w:b/>
        </w:rPr>
        <w:t>Implications:</w:t>
      </w:r>
    </w:p>
    <w:p>
      <w:pPr>
        <w:pStyle w:val="ListBullet"/>
      </w:pPr>
      <w:r>
        <w:t>Subscription state should flip to inactive the moment a renewal payment fails or isn't made by cycle end — no grace window.</w:t>
      </w:r>
    </w:p>
    <w:p>
      <w:pPr>
        <w:pStyle w:val="ListBullet"/>
      </w:pPr>
      <w:r>
        <w:t>Paid features (timetable, therapy sessions, therapy messaging) lock immediately on inactivity, per the PRD.</w:t>
      </w:r>
    </w:p>
    <w:p>
      <w:pPr>
        <w:pStyle w:val="ListBullet"/>
      </w:pPr>
      <w:r>
        <w:t>A later successful payment, whenever it happens, always starts a brand-new 20-session cycle rather than resuming a prior one.</w:t>
      </w:r>
    </w:p>
    <w:p>
      <w:pPr>
        <w:pStyle w:val="Heading1"/>
      </w:pPr>
      <w:r>
        <w:t>5. Additional Sessions</w:t>
      </w:r>
    </w:p>
    <w:p>
      <w:r>
        <w:t>Additional Everyday Yoga sessions may be purchased individually after the 20-session allocation is exhausted within a cycle. This exists so highly engaged Everyday Yoga students aren't hard-blocked from practicing once they've used their allocation, without undermining the core 20-session cycle price. Per-session pricing is not yet finalized (see Section 8, Open Items).</w:t>
      </w:r>
    </w:p>
    <w:p>
      <w:pPr>
        <w:pStyle w:val="ListBullet"/>
      </w:pPr>
      <w:r>
        <w:t>Applies to Everyday Yoga only — Yoga Therapy has no equivalent overage mechanism, since sessions there are centrally scheduled rather than self-served.</w:t>
      </w:r>
    </w:p>
    <w:p>
      <w:pPr>
        <w:pStyle w:val="ListBullet"/>
      </w:pPr>
      <w:r>
        <w:t>Purchased overage sessions should be tracked separately from the base 20-session allocation so reporting can distinguish plan usage from overage revenue.</w:t>
      </w:r>
    </w:p>
    <w:p>
      <w:pPr>
        <w:pStyle w:val="ListBullet"/>
      </w:pPr>
      <w:r>
        <w:t>Final per-session price must be set (and disclosed) before this feature can ship.</w:t>
      </w:r>
    </w:p>
    <w:p>
      <w:pPr>
        <w:pStyle w:val="Heading1"/>
      </w:pPr>
      <w:r>
        <w:t>6. International &amp; Currency Handling</w:t>
      </w:r>
    </w:p>
    <w:p>
      <w:pPr>
        <w:pStyle w:val="Heading2"/>
      </w:pPr>
      <w:r>
        <w:t>6.1 Dual Currency by Region</w:t>
      </w:r>
    </w:p>
    <w:p>
      <w:r>
        <w:rPr>
          <w:i/>
        </w:rPr>
        <w:t>International users use USD; India users use INR. The pricing page shows both currencies simultaneously, with the applicable region highlighted.</w:t>
      </w:r>
    </w:p>
    <w:p>
      <w:r>
        <w:rPr>
          <w:b/>
        </w:rPr>
        <w:t>Why:</w:t>
      </w:r>
    </w:p>
    <w:p>
      <w:r>
        <w:t>Showing both prices at once (rather than geo-redirecting to a single price) keeps pricing transparent for NRI users comparing against Indian family members' pricing, and avoids the trust problems that come from hidden or geo-gated pricing.</w:t>
      </w:r>
    </w:p>
    <w:p>
      <w:r>
        <w:rPr>
          <w:b/>
        </w:rPr>
        <w:t>Implications:</w:t>
      </w:r>
    </w:p>
    <w:p>
      <w:pPr>
        <w:pStyle w:val="ListBullet"/>
      </w:pPr>
      <w:r>
        <w:t>Pricing page UI must render both currency blocks with a clear visual indicator of which one applies to the current user/region.</w:t>
      </w:r>
    </w:p>
    <w:p>
      <w:pPr>
        <w:pStyle w:val="ListBullet"/>
      </w:pPr>
      <w:r>
        <w:t>Currency shown should follow account billing country, not IP geolocation, once a user is logged in.</w:t>
      </w:r>
    </w:p>
    <w:p>
      <w:pPr>
        <w:pStyle w:val="Heading2"/>
      </w:pPr>
      <w:r>
        <w:t>6.2 Admin-Controlled Billing Country</w:t>
      </w:r>
    </w:p>
    <w:p>
      <w:r>
        <w:rPr>
          <w:i/>
        </w:rPr>
        <w:t>Country/billing-country changes are admin-controlled; temporary physical location does not change pricing.</w:t>
      </w:r>
    </w:p>
    <w:p>
      <w:r>
        <w:rPr>
          <w:b/>
        </w:rPr>
        <w:t>Why:</w:t>
      </w:r>
    </w:p>
    <w:p>
      <w:r>
        <w:t>If pricing followed physical location automatically, a traveling India-based student could temporarily see (and potentially exploit) international pricing, or vice versa. Locking this to an admin-controlled field prevents pricing arbitrage while still allowing genuine relocations to be handled case-by-case.</w:t>
      </w:r>
    </w:p>
    <w:p>
      <w:r>
        <w:rPr>
          <w:b/>
        </w:rPr>
        <w:t>Implications:</w:t>
      </w:r>
    </w:p>
    <w:p>
      <w:pPr>
        <w:pStyle w:val="ListBullet"/>
      </w:pPr>
      <w:r>
        <w:t>No self-service country switch in student-facing settings.</w:t>
      </w:r>
    </w:p>
    <w:p>
      <w:pPr>
        <w:pStyle w:val="ListBullet"/>
      </w:pPr>
      <w:r>
        <w:t>Support/admin needs a lightweight process for legitimate billing-country change requests (e.g., permanent relocation).</w:t>
      </w:r>
    </w:p>
    <w:p>
      <w:pPr>
        <w:pStyle w:val="Heading1"/>
      </w:pPr>
      <w:r>
        <w:t>7. Payment Provider</w:t>
      </w:r>
    </w:p>
    <w:p>
      <w:r>
        <w:t>Razorpay is the platform's payment provider for both programs. International payment capability is bounded by whichever countries and payment methods Razorpay's international configuration actually supports — this is an external dependency, not a platform design choice, and should be validated against Razorpay's current country coverage before committing to specific international markets in marketing.</w:t>
      </w:r>
    </w:p>
    <w:p>
      <w:pPr>
        <w:pStyle w:val="Heading1"/>
      </w:pPr>
      <w:r>
        <w:t>8. Open Items Before Final Build</w:t>
      </w:r>
    </w:p>
    <w:p>
      <w:pPr>
        <w:pStyle w:val="ListBullet"/>
      </w:pPr>
      <w:r>
        <w:t>Exact price for each additional Everyday Yoga session (India and international).</w:t>
      </w:r>
    </w:p>
    <w:p>
      <w:pPr>
        <w:pStyle w:val="ListBullet"/>
      </w:pPr>
      <w:r>
        <w:t>Confirmed list of countries where Razorpay can process international payments for Shakti's use case.</w:t>
      </w:r>
    </w:p>
    <w:p>
      <w:pPr>
        <w:pStyle w:val="ListBullet"/>
      </w:pPr>
      <w:r>
        <w:t>Whether a lightweight admin workflow is needed for legitimate billing-country change requests.</w:t>
      </w:r>
    </w:p>
    <w:p>
      <w:pPr>
        <w:pStyle w:val="Heading1"/>
      </w:pPr>
      <w:r>
        <w:t>9. Rule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t>Cycle ends with unused sessions</w:t>
            </w:r>
          </w:p>
        </w:tc>
        <w:tc>
          <w:tcPr>
            <w:tcW w:type="dxa" w:w="4968"/>
          </w:tcPr>
          <w:p>
            <w:r>
              <w:t>Sessions expire; do not carry forward</w:t>
            </w:r>
          </w:p>
        </w:tc>
      </w:tr>
      <w:tr>
        <w:tc>
          <w:tcPr>
            <w:tcW w:type="dxa" w:w="4968"/>
          </w:tcPr>
          <w:p>
            <w:r>
              <w:t>Cycle expiry approaches</w:t>
            </w:r>
          </w:p>
        </w:tc>
        <w:tc>
          <w:tcPr>
            <w:tcW w:type="dxa" w:w="4968"/>
          </w:tcPr>
          <w:p>
            <w:r>
              <w:t>One push reminder sent on the expiry day</w:t>
            </w:r>
          </w:p>
        </w:tc>
      </w:tr>
      <w:tr>
        <w:tc>
          <w:tcPr>
            <w:tcW w:type="dxa" w:w="4968"/>
          </w:tcPr>
          <w:p>
            <w:r>
              <w:t>Student cancels mid-cycle</w:t>
            </w:r>
          </w:p>
        </w:tc>
        <w:tc>
          <w:tcPr>
            <w:tcW w:type="dxa" w:w="4968"/>
          </w:tcPr>
          <w:p>
            <w:r>
              <w:t>Access continues until current paid cycle ends; no refund</w:t>
            </w:r>
          </w:p>
        </w:tc>
      </w:tr>
      <w:tr>
        <w:tc>
          <w:tcPr>
            <w:tcW w:type="dxa" w:w="4968"/>
          </w:tcPr>
          <w:p>
            <w:r>
              <w:t>Student wants to pause</w:t>
            </w:r>
          </w:p>
        </w:tc>
        <w:tc>
          <w:tcPr>
            <w:tcW w:type="dxa" w:w="4968"/>
          </w:tcPr>
          <w:p>
            <w:r>
              <w:t>Not supported — must cancel or let lapse</w:t>
            </w:r>
          </w:p>
        </w:tc>
      </w:tr>
      <w:tr>
        <w:tc>
          <w:tcPr>
            <w:tcW w:type="dxa" w:w="4968"/>
          </w:tcPr>
          <w:p>
            <w:r>
              <w:t>Renewal payment fails</w:t>
            </w:r>
          </w:p>
        </w:tc>
        <w:tc>
          <w:tcPr>
            <w:tcW w:type="dxa" w:w="4968"/>
          </w:tcPr>
          <w:p>
            <w:r>
              <w:t>Subscription goes inactive immediately; no grace period</w:t>
            </w:r>
          </w:p>
        </w:tc>
      </w:tr>
      <w:tr>
        <w:tc>
          <w:tcPr>
            <w:tcW w:type="dxa" w:w="4968"/>
          </w:tcPr>
          <w:p>
            <w:r>
              <w:t>Payment succeeds after a lapse</w:t>
            </w:r>
          </w:p>
        </w:tc>
        <w:tc>
          <w:tcPr>
            <w:tcW w:type="dxa" w:w="4968"/>
          </w:tcPr>
          <w:p>
            <w:r>
              <w:t>Reactivates immediately with a new cycle of 20 sessions</w:t>
            </w:r>
          </w:p>
        </w:tc>
      </w:tr>
      <w:tr>
        <w:tc>
          <w:tcPr>
            <w:tcW w:type="dxa" w:w="4968"/>
          </w:tcPr>
          <w:p>
            <w:r>
              <w:t>Everyday Yoga sessions exhausted mid-cycle</w:t>
            </w:r>
          </w:p>
        </w:tc>
        <w:tc>
          <w:tcPr>
            <w:tcW w:type="dxa" w:w="4968"/>
          </w:tcPr>
          <w:p>
            <w:r>
              <w:t>Additional sessions purchasable individually (price TBD)</w:t>
            </w:r>
          </w:p>
        </w:tc>
      </w:tr>
      <w:tr>
        <w:tc>
          <w:tcPr>
            <w:tcW w:type="dxa" w:w="4968"/>
          </w:tcPr>
          <w:p>
            <w:r>
              <w:t>Yoga Therapy sessions exhausted mid-cycle</w:t>
            </w:r>
          </w:p>
        </w:tc>
        <w:tc>
          <w:tcPr>
            <w:tcW w:type="dxa" w:w="4968"/>
          </w:tcPr>
          <w:p>
            <w:r>
              <w:t>No overage mechanism — sessions are centrally scheduled only</w:t>
            </w:r>
          </w:p>
        </w:tc>
      </w:tr>
      <w:tr>
        <w:tc>
          <w:tcPr>
            <w:tcW w:type="dxa" w:w="4968"/>
          </w:tcPr>
          <w:p>
            <w:r>
              <w:t>User travels temporarily to another country</w:t>
            </w:r>
          </w:p>
        </w:tc>
        <w:tc>
          <w:tcPr>
            <w:tcW w:type="dxa" w:w="4968"/>
          </w:tcPr>
          <w:p>
            <w:r>
              <w:t>Pricing/currency unchanged — tied to billing country, not location</w:t>
            </w:r>
          </w:p>
        </w:tc>
      </w:tr>
    </w:tbl>
    <w:p/>
    <w:p>
      <w:pPr>
        <w:jc w:val="center"/>
      </w:pPr>
      <w:r>
        <w:rPr>
          <w:b/>
        </w:rPr>
        <w:t>End of Programs &amp; Pricing Reference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