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after="40"/>
      </w:pPr>
      <w:r>
        <w:rPr>
          <w:b/>
          <w:color w:val="E2001A"/>
          <w:sz w:val="28"/>
        </w:rPr>
        <w:t xml:space="preserve">UNIVERSIDAD AUTÓNOMA DE OCCIDENTE</w:t>
      </w:r>
    </w:p>
    <w:p>
      <w:pPr>
        <w:jc w:val="center"/>
        <w:spacing w:after="400"/>
      </w:pPr>
      <w:r>
        <w:rPr>
          <w:i/>
          <w:sz w:val="24"/>
        </w:rPr>
        <w:t xml:space="preserve">Seminario de Inteligencia Artificial</w:t>
      </w:r>
    </w:p>
    <w:p>
      <w:pPr>
        <w:jc w:val="center"/>
        <w:spacing w:after="80"/>
      </w:pPr>
      <w:r>
        <w:rPr>
          <w:b/>
          <w:sz w:val="52"/>
        </w:rPr>
        <w:t xml:space="preserve">ENTREGABLE 7</w:t>
      </w:r>
    </w:p>
    <w:p>
      <w:pPr>
        <w:jc w:val="center"/>
        <w:spacing w:after="120"/>
      </w:pPr>
      <w:r>
        <w:rPr>
          <w:b/>
          <w:color w:val="E2001A"/>
          <w:sz w:val="36"/>
        </w:rPr>
        <w:t xml:space="preserve">Documentación y Presentación</w:t>
      </w:r>
    </w:p>
    <w:p>
      <w:pPr>
        <w:jc w:val="center"/>
        <w:spacing w:after="40"/>
      </w:pPr>
      <w:r>
        <w:rPr>
          <w:sz w:val="26"/>
        </w:rPr>
        <w:t xml:space="preserve">Proyecto: Dashboard de Bajas de Activos de TI — UAO</w:t>
      </w:r>
    </w:p>
    <w:p>
      <w:pPr>
        <w:jc w:val="center"/>
        <w:spacing w:after="200"/>
      </w:pPr>
      <w:r>
        <w:rPr>
          <w:i/>
          <w:color w:val="6B7688"/>
          <w:sz w:val="22"/>
        </w:rPr>
        <w:t xml:space="preserve">Complejidad: Media · Período 2025–2026</w:t>
      </w:r>
    </w:p>
    <w:p>
      <w:pPr>
        <w:jc w:val="center"/>
        <w:spacing w:after="20"/>
      </w:pPr>
      <w:r>
        <w:rPr>
          <w:color w:val="6B7688"/>
          <w:sz w:val="20"/>
        </w:rPr>
        <w:t xml:space="preserve">Este documento reúne los componentes 1–5 del Entregable 7. La presentación ejecutiva (PPTX),</w:t>
      </w:r>
    </w:p>
    <w:p>
      <w:pPr>
        <w:jc w:val="center"/>
        <w:spacing w:after="40"/>
      </w:pPr>
      <w:r>
        <w:rPr>
          <w:color w:val="6B7688"/>
          <w:sz w:val="20"/>
        </w:rPr>
        <w:t xml:space="preserve">el guion del video tutorial y el README de setup se entregan como archivos aparte.</w:t>
      </w:r>
    </w:p>
    <w:p>
      <w:r>
        <w:br w:type="page"/>
      </w:r>
    </w:p>
    <w:p>
      <w:pPr>
        <w:pStyle w:val="Heading1"/>
        <w:spacing w:after="160"/>
      </w:pPr>
      <w:r>
        <w:rPr/>
        <w:t xml:space="preserve">1. Documentación técnica</w:t>
      </w:r>
    </w:p>
    <w:p>
      <w:pPr>
        <w:spacing w:after="120"/>
      </w:pPr>
      <w:r>
        <w:rPr/>
        <w:t xml:space="preserve">El proyecto transforma los informes técnicos de baja de activos (formato DSU-3.1.3-FO15) en un dashboard interactivo, mediante una arquitectura de datos reproducible.</w:t>
      </w:r>
    </w:p>
    <w:p>
      <w:pPr>
        <w:spacing w:after="120"/>
      </w:pPr>
      <w:r>
        <w:rPr>
          <w:b/>
        </w:rPr>
        <w:t xml:space="preserve">Arquitectura general</w:t>
      </w:r>
    </w:p>
    <w:p>
      <w:pPr>
        <w:spacing w:after="120"/>
      </w:pPr>
      <w:r>
        <w:rPr/>
        <w:t xml:space="preserve">Fuentes (CSV de bajas 2025/2026) → Pipeline ETL (Extract, Transform, Validate, Load) → Tabla de hechos consolidada (bajas_consolidado.csv) + KPIs (kpis.json) → Dashboard (web o Power BI).</w:t>
      </w:r>
    </w:p>
    <w:p>
      <w:pPr>
        <w:spacing w:after="120"/>
      </w:pPr>
      <w:r>
        <w:rPr>
          <w:b/>
        </w:rPr>
        <w:t xml:space="preserve">Componentes técnicos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Fuentes de datos: </w:t>
      </w:r>
      <w:r>
        <w:rPr/>
        <w:t xml:space="preserve">archivos CSV en data/raw/ con el esquema del informe técnico.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Pipeline ETL: </w:t>
      </w:r>
      <w:r>
        <w:rPr/>
        <w:t xml:space="preserve">paquete modular en etl/ (config, logger, extract, transform, validate, load, run_pipeline).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Modelo de datos: </w:t>
      </w:r>
      <w:r>
        <w:rPr/>
        <w:t xml:space="preserve">924 registros × 18 columnas; una fila por línea de activo dado de baja.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Capa de visualización: </w:t>
      </w:r>
      <w:r>
        <w:rPr/>
        <w:t xml:space="preserve">dashboard web (Chart.js, 3 páginas) y plantilla Power BI (tema + medidas DAX).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Tecnologías: </w:t>
      </w:r>
      <w:r>
        <w:rPr/>
        <w:t xml:space="preserve">solo librería estándar de Python 3.8+ para el ETL; navegador para el dashboard.</w:t>
      </w:r>
    </w:p>
    <w:p>
      <w:pPr>
        <w:spacing w:after="120"/>
      </w:pPr>
      <w:r>
        <w:rPr>
          <w:b/>
        </w:rPr>
        <w:t xml:space="preserve">Flujo de actualización</w:t>
      </w:r>
    </w:p>
    <w:p>
      <w:pPr>
        <w:spacing w:after="120"/>
      </w:pPr>
      <w:r>
        <w:rPr/>
        <w:t xml:space="preserve">Al recibir nuevos informes, se añaden/reemplazan los CSV en data/raw/ y se ejecuta run_pipeline.py, que regenera la tabla de hechos y los KPIs con validación de integridad. El dashboard se refresca recargando (web) o con Actualizar (Power BI).</w:t>
      </w:r>
    </w:p>
    <w:p>
      <w:r>
        <w:br w:type="page"/>
      </w:r>
    </w:p>
    <w:p>
      <w:pPr>
        <w:pStyle w:val="Heading1"/>
        <w:spacing w:after="160"/>
      </w:pPr>
      <w:r>
        <w:rPr/>
        <w:t xml:space="preserve">2. Guía de usuario: cómo interpretar el dashboard</w:t>
      </w:r>
    </w:p>
    <w:p>
      <w:pPr>
        <w:spacing w:after="120"/>
      </w:pPr>
      <w:r>
        <w:rPr/>
        <w:t xml:space="preserve">El dashboard tiene tres páginas, accesibles desde las pestañas superiores:</w:t>
      </w:r>
    </w:p>
    <w:p>
      <w:pPr>
        <w:spacing w:after="120"/>
      </w:pPr>
      <w:r>
        <w:rPr>
          <w:b/>
          <w:color w:val="2563EB"/>
        </w:rPr>
        <w:t xml:space="preserve">Página 1 · Visión general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Tarjetas KPI: </w:t>
      </w:r>
      <w:r>
        <w:rPr/>
        <w:t xml:space="preserve">muestran las cifras clave: unidades dadas de baja, informes (DITI), unidades por año y variación.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Gráficos: </w:t>
      </w:r>
      <w:r>
        <w:rPr/>
        <w:t xml:space="preserve">barras por categoría, dona de participación por año y la tendencia mensual.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Drilldown: </w:t>
      </w:r>
      <w:r>
        <w:rPr/>
        <w:t xml:space="preserve">al hacer clic en una barra de categoría, el tablero navega a la Página 2 ya filtrada.</w:t>
      </w:r>
    </w:p>
    <w:p>
      <w:pPr>
        <w:spacing w:after="120"/>
      </w:pPr>
      <w:r>
        <w:rPr>
          <w:b/>
          <w:color w:val="2563EB"/>
        </w:rPr>
        <w:t xml:space="preserve">Página 2 · Detalle operacional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Contenido: </w:t>
      </w:r>
      <w:r>
        <w:rPr/>
        <w:t xml:space="preserve">top de marcas, top de documentos y la tabla detallada de activos.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Interacción: </w:t>
      </w:r>
      <w:r>
        <w:rPr/>
        <w:t xml:space="preserve">clic en una marca filtra la tabla; doble clic en una fila copia el número de serie.</w:t>
      </w:r>
    </w:p>
    <w:p>
      <w:pPr>
        <w:spacing w:after="120"/>
      </w:pPr>
      <w:r>
        <w:rPr>
          <w:b/>
          <w:color w:val="2563EB"/>
        </w:rPr>
        <w:t xml:space="preserve">Página 3 · Análisis comparativo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Contenido: </w:t>
      </w:r>
      <w:r>
        <w:rPr/>
        <w:t xml:space="preserve">comparación 2025 vs 2026 por categoría, indicadores de calidad/trazabilidad y estacionalidad.</w:t>
      </w:r>
    </w:p>
    <w:p>
      <w:pPr>
        <w:spacing w:after="120"/>
      </w:pPr>
      <w:r>
        <w:rPr>
          <w:b/>
          <w:color w:val="2563EB"/>
        </w:rPr>
        <w:t xml:space="preserve">Filtros globales (aplican a las 3 páginas)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Rango de fechas: </w:t>
      </w:r>
      <w:r>
        <w:rPr/>
        <w:t xml:space="preserve">selectores “Desde” y “Hasta” acotan el período.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Segmentadores: </w:t>
      </w:r>
      <w:r>
        <w:rPr/>
        <w:t xml:space="preserve">Año, Categoría, Marca y un buscador por texto libre.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Acciones: </w:t>
      </w:r>
      <w:r>
        <w:rPr/>
        <w:t xml:space="preserve">el botón “Limpiar” restablece todos los filtros; “Exportar CSV” descarga la vista filtrada.</w:t>
      </w:r>
    </w:p>
    <w:p>
      <w:r>
        <w:br w:type="page"/>
      </w:r>
    </w:p>
    <w:p>
      <w:pPr>
        <w:pStyle w:val="Heading1"/>
        <w:spacing w:after="160"/>
      </w:pPr>
      <w:r>
        <w:rPr/>
        <w:t xml:space="preserve">3. Diccionario de datos (variables y KPIs)</w:t>
      </w:r>
    </w:p>
    <w:p>
      <w:pPr>
        <w:spacing w:after="120"/>
      </w:pPr>
      <w:r>
        <w:rPr>
          <w:b/>
        </w:rPr>
        <w:t xml:space="preserve">Variables de la tabla de hechos:</w:t>
      </w:r>
    </w:p>
    <w:tbl>
      <w:tblPr>
        <w:tblStyle w:val="TableGrid"/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000"/>
        <w:gridCol w:w="1700"/>
        <w:gridCol w:w="4500"/>
      </w:tblGrid>
      <w:tr>
        <w:tc>
          <w:tcPr>
            <w:tcW w:w="3000" w:type="dxa"/>
            <w:shd w:val="clear" w:color="auto" w:fill="E2001A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 xml:space="preserve">Variable</w:t>
            </w:r>
          </w:p>
        </w:tc>
        <w:tc>
          <w:tcPr>
            <w:tcW w:w="1700" w:type="dxa"/>
            <w:shd w:val="clear" w:color="auto" w:fill="E2001A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 xml:space="preserve">Tipo</w:t>
            </w:r>
          </w:p>
        </w:tc>
        <w:tc>
          <w:tcPr>
            <w:tcW w:w="4500" w:type="dxa"/>
            <w:shd w:val="clear" w:color="auto" w:fill="E2001A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 xml:space="preserve">Descripción</w:t>
            </w:r>
          </w:p>
        </w:tc>
      </w:tr>
      <w:tr>
        <w:tc>
          <w:tcPr>
            <w:tcW w:w="3000" w:type="dxa"/>
          </w:tcPr>
          <w:p>
            <w:pPr>
              <w:spacing w:after="20"/>
            </w:pPr>
            <w:r>
              <w:rPr>
                <w:sz w:val="16"/>
              </w:rPr>
              <w:t xml:space="preserve">Archivo de Origen</w:t>
            </w:r>
          </w:p>
        </w:tc>
        <w:tc>
          <w:tcPr>
            <w:tcW w:w="1700" w:type="dxa"/>
          </w:tcPr>
          <w:p>
            <w:pPr>
              <w:spacing w:after="20"/>
            </w:pPr>
            <w:r>
              <w:rPr>
                <w:sz w:val="16"/>
              </w:rPr>
              <w:t xml:space="preserve">Texto</w:t>
            </w:r>
          </w:p>
        </w:tc>
        <w:tc>
          <w:tcPr>
            <w:tcW w:w="4500" w:type="dxa"/>
          </w:tcPr>
          <w:p>
            <w:pPr>
              <w:spacing w:after="20"/>
            </w:pPr>
            <w:r>
              <w:rPr>
                <w:sz w:val="16"/>
              </w:rPr>
              <w:t xml:space="preserve">PDF de origen (Bajas 2025 / 2026)</w:t>
            </w:r>
          </w:p>
        </w:tc>
      </w:tr>
      <w:tr>
        <w:tc>
          <w:tcPr>
            <w:tcW w:w="3000" w:type="dxa"/>
          </w:tcPr>
          <w:p>
            <w:pPr>
              <w:spacing w:after="20"/>
            </w:pPr>
            <w:r>
              <w:rPr>
                <w:sz w:val="16"/>
              </w:rPr>
              <w:t xml:space="preserve">Fecha / Anio / Mes</w:t>
            </w:r>
          </w:p>
        </w:tc>
        <w:tc>
          <w:tcPr>
            <w:tcW w:w="1700" w:type="dxa"/>
          </w:tcPr>
          <w:p>
            <w:pPr>
              <w:spacing w:after="20"/>
            </w:pPr>
            <w:r>
              <w:rPr>
                <w:sz w:val="16"/>
              </w:rPr>
              <w:t xml:space="preserve">Fecha/Entero</w:t>
            </w:r>
          </w:p>
        </w:tc>
        <w:tc>
          <w:tcPr>
            <w:tcW w:w="4500" w:type="dxa"/>
          </w:tcPr>
          <w:p>
            <w:pPr>
              <w:spacing w:after="20"/>
            </w:pPr>
            <w:r>
              <w:rPr>
                <w:sz w:val="16"/>
              </w:rPr>
              <w:t xml:space="preserve">Fecha del trámite y derivados</w:t>
            </w:r>
          </w:p>
        </w:tc>
      </w:tr>
      <w:tr>
        <w:tc>
          <w:tcPr>
            <w:tcW w:w="3000" w:type="dxa"/>
          </w:tcPr>
          <w:p>
            <w:pPr>
              <w:spacing w:after="20"/>
            </w:pPr>
            <w:r>
              <w:rPr>
                <w:sz w:val="16"/>
              </w:rPr>
              <w:t xml:space="preserve">NombreMes / AnioMes / Trimestre</w:t>
            </w:r>
          </w:p>
        </w:tc>
        <w:tc>
          <w:tcPr>
            <w:tcW w:w="1700" w:type="dxa"/>
          </w:tcPr>
          <w:p>
            <w:pPr>
              <w:spacing w:after="20"/>
            </w:pPr>
            <w:r>
              <w:rPr>
                <w:sz w:val="16"/>
              </w:rPr>
              <w:t xml:space="preserve">Texto</w:t>
            </w:r>
          </w:p>
        </w:tc>
        <w:tc>
          <w:tcPr>
            <w:tcW w:w="4500" w:type="dxa"/>
          </w:tcPr>
          <w:p>
            <w:pPr>
              <w:spacing w:after="20"/>
            </w:pPr>
            <w:r>
              <w:rPr>
                <w:sz w:val="16"/>
              </w:rPr>
              <w:t xml:space="preserve">Dimensiones de tiempo derivadas</w:t>
            </w:r>
          </w:p>
        </w:tc>
      </w:tr>
      <w:tr>
        <w:tc>
          <w:tcPr>
            <w:tcW w:w="3000" w:type="dxa"/>
          </w:tcPr>
          <w:p>
            <w:pPr>
              <w:spacing w:after="20"/>
            </w:pPr>
            <w:r>
              <w:rPr>
                <w:sz w:val="16"/>
              </w:rPr>
              <w:t xml:space="preserve">Consecutivo</w:t>
            </w:r>
          </w:p>
        </w:tc>
        <w:tc>
          <w:tcPr>
            <w:tcW w:w="1700" w:type="dxa"/>
          </w:tcPr>
          <w:p>
            <w:pPr>
              <w:spacing w:after="20"/>
            </w:pPr>
            <w:r>
              <w:rPr>
                <w:sz w:val="16"/>
              </w:rPr>
              <w:t xml:space="preserve">Texto</w:t>
            </w:r>
          </w:p>
        </w:tc>
        <w:tc>
          <w:tcPr>
            <w:tcW w:w="4500" w:type="dxa"/>
          </w:tcPr>
          <w:p>
            <w:pPr>
              <w:spacing w:after="20"/>
            </w:pPr>
            <w:r>
              <w:rPr>
                <w:sz w:val="16"/>
              </w:rPr>
              <w:t xml:space="preserve">Número de documento (DITI)</w:t>
            </w:r>
          </w:p>
        </w:tc>
      </w:tr>
      <w:tr>
        <w:tc>
          <w:tcPr>
            <w:tcW w:w="3000" w:type="dxa"/>
          </w:tcPr>
          <w:p>
            <w:pPr>
              <w:spacing w:after="20"/>
            </w:pPr>
            <w:r>
              <w:rPr>
                <w:sz w:val="16"/>
              </w:rPr>
              <w:t xml:space="preserve">Cantidad</w:t>
            </w:r>
          </w:p>
        </w:tc>
        <w:tc>
          <w:tcPr>
            <w:tcW w:w="1700" w:type="dxa"/>
          </w:tcPr>
          <w:p>
            <w:pPr>
              <w:spacing w:after="20"/>
            </w:pPr>
            <w:r>
              <w:rPr>
                <w:sz w:val="16"/>
              </w:rPr>
              <w:t xml:space="preserve">Entero</w:t>
            </w:r>
          </w:p>
        </w:tc>
        <w:tc>
          <w:tcPr>
            <w:tcW w:w="4500" w:type="dxa"/>
          </w:tcPr>
          <w:p>
            <w:pPr>
              <w:spacing w:after="20"/>
            </w:pPr>
            <w:r>
              <w:rPr>
                <w:sz w:val="16"/>
              </w:rPr>
              <w:t xml:space="preserve">Unidades dadas de baja en la línea</w:t>
            </w:r>
          </w:p>
        </w:tc>
      </w:tr>
      <w:tr>
        <w:tc>
          <w:tcPr>
            <w:tcW w:w="3000" w:type="dxa"/>
          </w:tcPr>
          <w:p>
            <w:pPr>
              <w:spacing w:after="20"/>
            </w:pPr>
            <w:r>
              <w:rPr>
                <w:sz w:val="16"/>
              </w:rPr>
              <w:t xml:space="preserve">Descripcion del elemento</w:t>
            </w:r>
          </w:p>
        </w:tc>
        <w:tc>
          <w:tcPr>
            <w:tcW w:w="1700" w:type="dxa"/>
          </w:tcPr>
          <w:p>
            <w:pPr>
              <w:spacing w:after="20"/>
            </w:pPr>
            <w:r>
              <w:rPr>
                <w:sz w:val="16"/>
              </w:rPr>
              <w:t xml:space="preserve">Texto</w:t>
            </w:r>
          </w:p>
        </w:tc>
        <w:tc>
          <w:tcPr>
            <w:tcW w:w="4500" w:type="dxa"/>
          </w:tcPr>
          <w:p>
            <w:pPr>
              <w:spacing w:after="20"/>
            </w:pPr>
            <w:r>
              <w:rPr>
                <w:sz w:val="16"/>
              </w:rPr>
              <w:t xml:space="preserve">Detalle del activo</w:t>
            </w:r>
          </w:p>
        </w:tc>
      </w:tr>
      <w:tr>
        <w:tc>
          <w:tcPr>
            <w:tcW w:w="3000" w:type="dxa"/>
          </w:tcPr>
          <w:p>
            <w:pPr>
              <w:spacing w:after="20"/>
            </w:pPr>
            <w:r>
              <w:rPr>
                <w:sz w:val="16"/>
              </w:rPr>
              <w:t xml:space="preserve">Categoria</w:t>
            </w:r>
          </w:p>
        </w:tc>
        <w:tc>
          <w:tcPr>
            <w:tcW w:w="1700" w:type="dxa"/>
          </w:tcPr>
          <w:p>
            <w:pPr>
              <w:spacing w:after="20"/>
            </w:pPr>
            <w:r>
              <w:rPr>
                <w:sz w:val="16"/>
              </w:rPr>
              <w:t xml:space="preserve">Texto</w:t>
            </w:r>
          </w:p>
        </w:tc>
        <w:tc>
          <w:tcPr>
            <w:tcW w:w="4500" w:type="dxa"/>
          </w:tcPr>
          <w:p>
            <w:pPr>
              <w:spacing w:after="20"/>
            </w:pPr>
            <w:r>
              <w:rPr>
                <w:sz w:val="16"/>
              </w:rPr>
              <w:t xml:space="preserve">Clasificación derivada (Mouse, Teléfono…)</w:t>
            </w:r>
          </w:p>
        </w:tc>
      </w:tr>
      <w:tr>
        <w:tc>
          <w:tcPr>
            <w:tcW w:w="3000" w:type="dxa"/>
          </w:tcPr>
          <w:p>
            <w:pPr>
              <w:spacing w:after="20"/>
            </w:pPr>
            <w:r>
              <w:rPr>
                <w:sz w:val="16"/>
              </w:rPr>
              <w:t xml:space="preserve">Marca</w:t>
            </w:r>
          </w:p>
        </w:tc>
        <w:tc>
          <w:tcPr>
            <w:tcW w:w="1700" w:type="dxa"/>
          </w:tcPr>
          <w:p>
            <w:pPr>
              <w:spacing w:after="20"/>
            </w:pPr>
            <w:r>
              <w:rPr>
                <w:sz w:val="16"/>
              </w:rPr>
              <w:t xml:space="preserve">Texto</w:t>
            </w:r>
          </w:p>
        </w:tc>
        <w:tc>
          <w:tcPr>
            <w:tcW w:w="4500" w:type="dxa"/>
          </w:tcPr>
          <w:p>
            <w:pPr>
              <w:spacing w:after="20"/>
            </w:pPr>
            <w:r>
              <w:rPr>
                <w:sz w:val="16"/>
              </w:rPr>
              <w:t xml:space="preserve">Fabricante derivado (Dell, Avaya…)</w:t>
            </w:r>
          </w:p>
        </w:tc>
      </w:tr>
      <w:tr>
        <w:tc>
          <w:tcPr>
            <w:tcW w:w="3000" w:type="dxa"/>
          </w:tcPr>
          <w:p>
            <w:pPr>
              <w:spacing w:after="20"/>
            </w:pPr>
            <w:r>
              <w:rPr>
                <w:sz w:val="16"/>
              </w:rPr>
              <w:t xml:space="preserve">Serie No. / No. inventario / IMEI</w:t>
            </w:r>
          </w:p>
        </w:tc>
        <w:tc>
          <w:tcPr>
            <w:tcW w:w="1700" w:type="dxa"/>
          </w:tcPr>
          <w:p>
            <w:pPr>
              <w:spacing w:after="20"/>
            </w:pPr>
            <w:r>
              <w:rPr>
                <w:sz w:val="16"/>
              </w:rPr>
              <w:t xml:space="preserve">Texto</w:t>
            </w:r>
          </w:p>
        </w:tc>
        <w:tc>
          <w:tcPr>
            <w:tcW w:w="4500" w:type="dxa"/>
          </w:tcPr>
          <w:p>
            <w:pPr>
              <w:spacing w:after="20"/>
            </w:pPr>
            <w:r>
              <w:rPr>
                <w:sz w:val="16"/>
              </w:rPr>
              <w:t xml:space="preserve">Identificadores del activo</w:t>
            </w:r>
          </w:p>
        </w:tc>
      </w:tr>
      <w:tr>
        <w:tc>
          <w:tcPr>
            <w:tcW w:w="3000" w:type="dxa"/>
          </w:tcPr>
          <w:p>
            <w:pPr>
              <w:spacing w:after="20"/>
            </w:pPr>
            <w:r>
              <w:rPr>
                <w:sz w:val="16"/>
              </w:rPr>
              <w:t xml:space="preserve">TieneSerial / TieneInventario / EsLote</w:t>
            </w:r>
          </w:p>
        </w:tc>
        <w:tc>
          <w:tcPr>
            <w:tcW w:w="1700" w:type="dxa"/>
          </w:tcPr>
          <w:p>
            <w:pPr>
              <w:spacing w:after="20"/>
            </w:pPr>
            <w:r>
              <w:rPr>
                <w:sz w:val="16"/>
              </w:rPr>
              <w:t xml:space="preserve">Si/No</w:t>
            </w:r>
          </w:p>
        </w:tc>
        <w:tc>
          <w:tcPr>
            <w:tcW w:w="4500" w:type="dxa"/>
          </w:tcPr>
          <w:p>
            <w:pPr>
              <w:spacing w:after="20"/>
            </w:pPr>
            <w:r>
              <w:rPr>
                <w:sz w:val="16"/>
              </w:rPr>
              <w:t xml:space="preserve">Indicadores de calidad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</w:rPr>
        <w:t xml:space="preserve">KPIs principales (detalle completo en el Entregable 3):</w:t>
      </w:r>
    </w:p>
    <w:tbl>
      <w:tblPr>
        <w:tblStyle w:val="TableGrid"/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600"/>
        <w:gridCol w:w="4000"/>
        <w:gridCol w:w="2600"/>
      </w:tblGrid>
      <w:tr>
        <w:tc>
          <w:tcPr>
            <w:tcW w:w="2600" w:type="dxa"/>
            <w:shd w:val="clear" w:color="auto" w:fill="E2001A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 xml:space="preserve">KPI</w:t>
            </w:r>
          </w:p>
        </w:tc>
        <w:tc>
          <w:tcPr>
            <w:tcW w:w="4000" w:type="dxa"/>
            <w:shd w:val="clear" w:color="auto" w:fill="E2001A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 xml:space="preserve">Definición</w:t>
            </w:r>
          </w:p>
        </w:tc>
        <w:tc>
          <w:tcPr>
            <w:tcW w:w="2600" w:type="dxa"/>
            <w:shd w:val="clear" w:color="auto" w:fill="E2001A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 xml:space="preserve">Valor actual</w:t>
            </w:r>
          </w:p>
        </w:tc>
      </w:tr>
      <w:tr>
        <w:tc>
          <w:tcPr>
            <w:tcW w:w="2600" w:type="dxa"/>
          </w:tcPr>
          <w:p>
            <w:pPr>
              <w:spacing w:after="20"/>
            </w:pPr>
            <w:r>
              <w:rPr>
                <w:sz w:val="16"/>
              </w:rPr>
              <w:t xml:space="preserve">Total Unidades</w:t>
            </w:r>
          </w:p>
        </w:tc>
        <w:tc>
          <w:tcPr>
            <w:tcW w:w="4000" w:type="dxa"/>
          </w:tcPr>
          <w:p>
            <w:pPr>
              <w:spacing w:after="20"/>
            </w:pPr>
            <w:r>
              <w:rPr>
                <w:sz w:val="16"/>
              </w:rPr>
              <w:t xml:space="preserve">Suma de Cantidad</w:t>
            </w:r>
          </w:p>
        </w:tc>
        <w:tc>
          <w:tcPr>
            <w:tcW w:w="2600" w:type="dxa"/>
          </w:tcPr>
          <w:p>
            <w:pPr>
              <w:spacing w:after="20"/>
            </w:pPr>
            <w:r>
              <w:rPr>
                <w:sz w:val="16"/>
              </w:rPr>
              <w:t xml:space="preserve">1.322</w:t>
            </w:r>
          </w:p>
        </w:tc>
      </w:tr>
      <w:tr>
        <w:tc>
          <w:tcPr>
            <w:tcW w:w="2600" w:type="dxa"/>
          </w:tcPr>
          <w:p>
            <w:pPr>
              <w:spacing w:after="20"/>
            </w:pPr>
            <w:r>
              <w:rPr>
                <w:sz w:val="16"/>
              </w:rPr>
              <w:t xml:space="preserve">Total Informes</w:t>
            </w:r>
          </w:p>
        </w:tc>
        <w:tc>
          <w:tcPr>
            <w:tcW w:w="4000" w:type="dxa"/>
          </w:tcPr>
          <w:p>
            <w:pPr>
              <w:spacing w:after="20"/>
            </w:pPr>
            <w:r>
              <w:rPr>
                <w:sz w:val="16"/>
              </w:rPr>
              <w:t xml:space="preserve">Consecutivos únicos</w:t>
            </w:r>
          </w:p>
        </w:tc>
        <w:tc>
          <w:tcPr>
            <w:tcW w:w="2600" w:type="dxa"/>
          </w:tcPr>
          <w:p>
            <w:pPr>
              <w:spacing w:after="20"/>
            </w:pPr>
            <w:r>
              <w:rPr>
                <w:sz w:val="16"/>
              </w:rPr>
              <w:t xml:space="preserve">104</w:t>
            </w:r>
          </w:p>
        </w:tc>
      </w:tr>
      <w:tr>
        <w:tc>
          <w:tcPr>
            <w:tcW w:w="2600" w:type="dxa"/>
          </w:tcPr>
          <w:p>
            <w:pPr>
              <w:spacing w:after="20"/>
            </w:pPr>
            <w:r>
              <w:rPr>
                <w:sz w:val="16"/>
              </w:rPr>
              <w:t xml:space="preserve">Variación Anual %</w:t>
            </w:r>
          </w:p>
        </w:tc>
        <w:tc>
          <w:tcPr>
            <w:tcW w:w="4000" w:type="dxa"/>
          </w:tcPr>
          <w:p>
            <w:pPr>
              <w:spacing w:after="20"/>
            </w:pPr>
            <w:r>
              <w:rPr>
                <w:sz w:val="16"/>
              </w:rPr>
              <w:t xml:space="preserve">Cambio 2026 vs 2025</w:t>
            </w:r>
          </w:p>
        </w:tc>
        <w:tc>
          <w:tcPr>
            <w:tcW w:w="2600" w:type="dxa"/>
          </w:tcPr>
          <w:p>
            <w:pPr>
              <w:spacing w:after="20"/>
            </w:pPr>
            <w:r>
              <w:rPr>
                <w:sz w:val="16"/>
              </w:rPr>
              <w:t xml:space="preserve">+3,1%</w:t>
            </w:r>
          </w:p>
        </w:tc>
      </w:tr>
      <w:tr>
        <w:tc>
          <w:tcPr>
            <w:tcW w:w="2600" w:type="dxa"/>
          </w:tcPr>
          <w:p>
            <w:pPr>
              <w:spacing w:after="20"/>
            </w:pPr>
            <w:r>
              <w:rPr>
                <w:sz w:val="16"/>
              </w:rPr>
              <w:t xml:space="preserve">% Categoría Top</w:t>
            </w:r>
          </w:p>
        </w:tc>
        <w:tc>
          <w:tcPr>
            <w:tcW w:w="4000" w:type="dxa"/>
          </w:tcPr>
          <w:p>
            <w:pPr>
              <w:spacing w:after="20"/>
            </w:pPr>
            <w:r>
              <w:rPr>
                <w:sz w:val="16"/>
              </w:rPr>
              <w:t xml:space="preserve">Peso de la categoría líder</w:t>
            </w:r>
          </w:p>
        </w:tc>
        <w:tc>
          <w:tcPr>
            <w:tcW w:w="2600" w:type="dxa"/>
          </w:tcPr>
          <w:p>
            <w:pPr>
              <w:spacing w:after="20"/>
            </w:pPr>
            <w:r>
              <w:rPr>
                <w:sz w:val="16"/>
              </w:rPr>
              <w:t xml:space="preserve">20,7% (Mouse)</w:t>
            </w:r>
          </w:p>
        </w:tc>
      </w:tr>
      <w:tr>
        <w:tc>
          <w:tcPr>
            <w:tcW w:w="2600" w:type="dxa"/>
          </w:tcPr>
          <w:p>
            <w:pPr>
              <w:spacing w:after="20"/>
            </w:pPr>
            <w:r>
              <w:rPr>
                <w:sz w:val="16"/>
              </w:rPr>
              <w:t xml:space="preserve">% Sin Inventario</w:t>
            </w:r>
          </w:p>
        </w:tc>
        <w:tc>
          <w:tcPr>
            <w:tcW w:w="4000" w:type="dxa"/>
          </w:tcPr>
          <w:p>
            <w:pPr>
              <w:spacing w:after="20"/>
            </w:pPr>
            <w:r>
              <w:rPr>
                <w:sz w:val="16"/>
              </w:rPr>
              <w:t xml:space="preserve">Registros sin inventario</w:t>
            </w:r>
          </w:p>
        </w:tc>
        <w:tc>
          <w:tcPr>
            <w:tcW w:w="2600" w:type="dxa"/>
          </w:tcPr>
          <w:p>
            <w:pPr>
              <w:spacing w:after="20"/>
            </w:pPr>
            <w:r>
              <w:rPr>
                <w:sz w:val="16"/>
              </w:rPr>
              <w:t xml:space="preserve">40,4%</w:t>
            </w:r>
          </w:p>
        </w:tc>
      </w:tr>
      <w:tr>
        <w:tc>
          <w:tcPr>
            <w:tcW w:w="2600" w:type="dxa"/>
          </w:tcPr>
          <w:p>
            <w:pPr>
              <w:spacing w:after="20"/>
            </w:pPr>
            <w:r>
              <w:rPr>
                <w:sz w:val="16"/>
              </w:rPr>
              <w:t xml:space="preserve">% Sin Serie</w:t>
            </w:r>
          </w:p>
        </w:tc>
        <w:tc>
          <w:tcPr>
            <w:tcW w:w="4000" w:type="dxa"/>
          </w:tcPr>
          <w:p>
            <w:pPr>
              <w:spacing w:after="20"/>
            </w:pPr>
            <w:r>
              <w:rPr>
                <w:sz w:val="16"/>
              </w:rPr>
              <w:t xml:space="preserve">Registros sin serie</w:t>
            </w:r>
          </w:p>
        </w:tc>
        <w:tc>
          <w:tcPr>
            <w:tcW w:w="2600" w:type="dxa"/>
          </w:tcPr>
          <w:p>
            <w:pPr>
              <w:spacing w:after="20"/>
            </w:pPr>
            <w:r>
              <w:rPr>
                <w:sz w:val="16"/>
              </w:rPr>
              <w:t xml:space="preserve">22,3%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160"/>
      </w:pPr>
      <w:r>
        <w:rPr/>
        <w:t xml:space="preserve">4. Limitaciones (qué puede mejorar)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Trazabilidad incompleta: </w:t>
      </w:r>
      <w:r>
        <w:rPr/>
        <w:t xml:space="preserve">el 40,4% de registros no tiene número de inventario y el 22,3% carece de serie, lo que limita la trazabilidad patrimonial individual.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Sin motivo de baja: </w:t>
      </w:r>
      <w:r>
        <w:rPr/>
        <w:t xml:space="preserve">no se registra el campo “Estado” (Dañado/Obsoleto/Bueno) del formato original, por lo que no se analizan los motivos de baja.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Clasificación por reglas: </w:t>
      </w:r>
      <w:r>
        <w:rPr/>
        <w:t xml:space="preserve">la Categoría y la Marca se derivan por reglas sobre la descripción; textos atípicos pueden caer en “Otros” o “Sin marca”.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Sin datos económicos: </w:t>
      </w:r>
      <w:r>
        <w:rPr/>
        <w:t xml:space="preserve">no hay valor contable ni fecha de compra, por lo que no se calcula vida útil ni depreciación.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Actualización por lotes: </w:t>
      </w:r>
      <w:r>
        <w:rPr/>
        <w:t xml:space="preserve">la actualización es manual (ejecutar el ETL); no hay ingesta en tiempo real.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Posibles duplicados: </w:t>
      </w:r>
      <w:r>
        <w:rPr/>
        <w:t xml:space="preserve">se detectaron 5 seriales repetidos que requieren revisión de posibles dobles registros.</w:t>
      </w:r>
    </w:p>
    <w:p>
      <w:pPr>
        <w:pStyle w:val="Heading1"/>
        <w:spacing w:after="160"/>
      </w:pPr>
      <w:r>
        <w:rPr/>
        <w:t xml:space="preserve">5. Roadmap (mejoras futuras)</w:t>
      </w:r>
    </w:p>
    <w:p>
      <w:pPr>
        <w:spacing w:after="120"/>
      </w:pPr>
      <w:r>
        <w:rPr>
          <w:b/>
          <w:color w:val="2563EB"/>
        </w:rPr>
        <w:t xml:space="preserve">Corto plazo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reforzar el registro de serie e inventario en el origen para subir la trazabilidad por encima del 90%.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incorporar el campo Estado (Dañado/Obsoleto/Bueno) para analizar motivos de baja.</w:t>
      </w:r>
    </w:p>
    <w:p>
      <w:pPr>
        <w:spacing w:after="120"/>
      </w:pPr>
      <w:r>
        <w:rPr>
          <w:b/>
          <w:color w:val="2563EB"/>
        </w:rPr>
        <w:t xml:space="preserve">Mediano plazo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automatizar el ETL con el scheduler (cron o GitHub Actions) para actualización mensual sin intervención.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publicar el .pbix en Power BI Service con actualización programada y control de acceso por roles.</w:t>
      </w:r>
    </w:p>
    <w:p>
      <w:pPr>
        <w:spacing w:after="120"/>
      </w:pPr>
      <w:r>
        <w:rPr>
          <w:b/>
          <w:color w:val="2563EB"/>
        </w:rPr>
        <w:t xml:space="preserve">Largo plazo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enlazar con el inventario general para analizar el ciclo de vida completo (alta → uso → baja).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añadir valor contable y fecha de compra para estimar depreciación y planear reposiciones con presupuesto.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modelo predictivo de reposición basado en la estacionalidad detectada (picos de jul-2025 y abr-2026).</w:t>
      </w:r>
    </w:p>
    <w:p>
      <w:pPr>
        <w:spacing w:after="120"/>
      </w:pPr>
    </w:p>
    <w:p>
      <w:pPr>
        <w:jc w:val="center"/>
        <w:spacing w:after="0"/>
      </w:pPr>
      <w:r>
        <w:rPr>
          <w:i/>
          <w:color w:val="6B7688"/>
        </w:rPr>
        <w:t xml:space="preserve">Continúa en los archivos: presentación ejecutiva (PPTX), guion del video y README de setup.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lang w:val="es-CO"/>
      </w:rPr>
    </w:rPrDefault>
  </w:docDefaults>
  <w:style w:type="paragraph" w:default="1" w:styleId="Normal">
    <w:name w:val="Normal"/>
    <w:pPr>
      <w:spacing w:line="276" w:lineRule="auto"/>
    </w:pPr>
  </w:style>
  <w:style w:type="paragraph" w:styleId="Heading1">
    <w:name w:val="heading 1"/>
    <w:basedOn w:val="Normal"/>
    <w:pPr>
      <w:keepNext/>
      <w:spacing w:before="240" w:after="120"/>
      <w:outlineLvl w:val="0"/>
    </w:pPr>
    <w:rPr>
      <w:b/>
      <w:color w:val="E2001A"/>
      <w:sz w:val="30"/>
    </w:rPr>
  </w:style>
  <w:style w:type="paragraph" w:styleId="Heading2">
    <w:name w:val="heading 2"/>
    <w:basedOn w:val="Normal"/>
    <w:pPr>
      <w:keepNext/>
      <w:spacing w:before="200" w:after="80"/>
      <w:outlineLvl w:val="1"/>
    </w:pPr>
    <w:rPr>
      <w:b/>
      <w:color w:val="2563EB"/>
      <w:sz w:val="26"/>
    </w:rPr>
  </w:style>
  <w:style w:type="paragraph" w:styleId="ListParagraph">
    <w:name w:val="List Paragraph"/>
    <w:basedOn w:val="Normal"/>
    <w:pPr>
      <w:ind w:left="720"/>
    </w:pPr>
  </w:style>
  <w:style w:type="table" w:styleId="TableGrid">
    <w:name w:val="Table Grid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>
  <dc:title>Entregable 7 - Documentacion</dc:title>
  <dc:creator>Proyecto Seminario IA</dc:creator>
</cp:coreProperties>
</file>