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40"/>
      </w:pPr>
      <w:r>
        <w:rPr>
          <w:b/>
          <w:color w:val="E2001A"/>
          <w:sz w:val="28"/>
          <w:szCs w:val="28"/>
        </w:rPr>
        <w:t xml:space="preserve">UNIVERSIDAD AUTÓNOMA DE OCCIDENTE</w:t>
      </w:r>
    </w:p>
    <w:p>
      <w:pPr>
        <w:jc w:val="center"/>
        <w:spacing w:after="400"/>
      </w:pPr>
      <w:r>
        <w:rPr>
          <w:i/>
          <w:sz w:val="24"/>
          <w:szCs w:val="24"/>
        </w:rPr>
        <w:t xml:space="preserve">Seminario de Inteligencia Artificial</w:t>
      </w:r>
    </w:p>
    <w:p>
      <w:pPr>
        <w:jc w:val="center"/>
        <w:spacing w:after="80"/>
      </w:pPr>
      <w:r>
        <w:rPr>
          <w:b/>
          <w:sz w:val="52"/>
          <w:szCs w:val="52"/>
        </w:rPr>
        <w:t xml:space="preserve">ENTREGABLE 3</w:t>
      </w:r>
    </w:p>
    <w:p>
      <w:pPr>
        <w:jc w:val="center"/>
        <w:spacing w:after="120"/>
      </w:pPr>
      <w:r>
        <w:rPr>
          <w:b/>
          <w:color w:val="E2001A"/>
          <w:sz w:val="36"/>
          <w:szCs w:val="36"/>
        </w:rPr>
        <w:t xml:space="preserve">Identificación de KPIs e Indicadores</w:t>
      </w:r>
    </w:p>
    <w:p>
      <w:pPr>
        <w:jc w:val="center"/>
        <w:spacing w:after="40"/>
      </w:pPr>
      <w:r>
        <w:rPr>
          <w:sz w:val="26"/>
          <w:szCs w:val="26"/>
        </w:rPr>
        <w:t xml:space="preserve">Proyecto: Dashboard de Bajas de Activos de TI</w:t>
      </w:r>
    </w:p>
    <w:p>
      <w:pPr>
        <w:jc w:val="center"/>
        <w:spacing w:after="500"/>
      </w:pPr>
      <w:r>
        <w:rPr>
          <w:i/>
          <w:color w:val="6B7688"/>
          <w:sz w:val="22"/>
          <w:szCs w:val="22"/>
        </w:rPr>
        <w:t xml:space="preserve">Universidad Autónoma de Occidente · Período 2025–2026</w:t>
      </w:r>
    </w:p>
    <w:p>
      <w:pPr>
        <w:jc w:val="center"/>
        <w:spacing w:after="40"/>
      </w:pPr>
      <w:r>
        <w:rPr>
          <w:color w:val="6B7688"/>
          <w:sz w:val="22"/>
          <w:szCs w:val="22"/>
        </w:rPr>
        <w:t xml:space="preserve">Complejidad: Media</w:t>
      </w:r>
    </w:p>
    <w:p>
      <w:pPr>
        <w:jc w:val="center"/>
        <w:spacing w:after="40"/>
      </w:pPr>
      <w:r>
        <w:rPr>
          <w:color w:val="6B7688"/>
          <w:sz w:val="20"/>
          <w:szCs w:val="20"/>
        </w:rPr>
        <w:t xml:space="preserve">Propósito: traducir las preguntas de negocio en KPIs y métricas medibles</w:t>
      </w:r>
    </w:p>
    <w:p>
      <w:r>
        <w:br w:type="page"/>
      </w:r>
    </w:p>
    <w:p>
      <w:pPr>
        <w:pStyle w:val="Heading1"/>
        <w:spacing w:after="160"/>
      </w:pPr>
      <w:r>
        <w:rPr/>
        <w:t xml:space="preserve">1. Mapeo pregunta → KPI</w:t>
      </w:r>
    </w:p>
    <w:p>
      <w:pPr>
        <w:spacing w:after="120"/>
      </w:pPr>
      <w:r>
        <w:rPr/>
        <w:t xml:space="preserve">Cada pregunta de negocio definida en el Entregable 1 se traduce en uno o más KPIs medibles. Esta trazabilidad garantiza que el dashboard responda exactamente lo que el negocio necesita.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600"/>
        <w:gridCol w:w="4600"/>
      </w:tblGrid>
      <w:tr>
        <w:tc>
          <w:tcPr>
            <w:tcW w:w="46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Pregunta de negocio</w:t>
            </w:r>
          </w:p>
        </w:tc>
        <w:tc>
          <w:tcPr>
            <w:tcW w:w="46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KPI(s) asociado(s)</w:t>
            </w:r>
          </w:p>
        </w:tc>
      </w:tr>
      <w:tr>
        <w:tc>
          <w:tcPr>
            <w:tcW w:w="4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P1. ¿Cuántas unidades y cuántos informes se tramitaron?</w:t>
            </w:r>
          </w:p>
        </w:tc>
        <w:tc>
          <w:tcPr>
            <w:tcW w:w="4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KPI-01 Total Unidades, KPI-02 Total Informes, KPI-03 Unidades por Informe</w:t>
            </w:r>
          </w:p>
        </w:tc>
      </w:tr>
      <w:tr>
        <w:tc>
          <w:tcPr>
            <w:tcW w:w="4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P2. ¿Cómo se distribuyen por categoría?</w:t>
            </w:r>
          </w:p>
        </w:tc>
        <w:tc>
          <w:tcPr>
            <w:tcW w:w="4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KPI-04 Unidades por Categoría, KPI-05 % Participación Categoría Top</w:t>
            </w:r>
          </w:p>
        </w:tc>
      </w:tr>
      <w:tr>
        <w:tc>
          <w:tcPr>
            <w:tcW w:w="4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P3. ¿Qué marcas concentran las bajas?</w:t>
            </w:r>
          </w:p>
        </w:tc>
        <w:tc>
          <w:tcPr>
            <w:tcW w:w="4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KPI-06 Unidades por Marca, KPI-07 Concentración de Marca (Top)</w:t>
            </w:r>
          </w:p>
        </w:tc>
      </w:tr>
      <w:tr>
        <w:tc>
          <w:tcPr>
            <w:tcW w:w="4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P4. ¿Cómo evoluciona mes a mes y año a año?</w:t>
            </w:r>
          </w:p>
        </w:tc>
        <w:tc>
          <w:tcPr>
            <w:tcW w:w="4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KPI-08 Unidades Mensuales, KPI-09 Variación Anual %</w:t>
            </w:r>
          </w:p>
        </w:tc>
      </w:tr>
      <w:tr>
        <w:tc>
          <w:tcPr>
            <w:tcW w:w="4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P5. ¿En qué meses hay picos?</w:t>
            </w:r>
          </w:p>
        </w:tc>
        <w:tc>
          <w:tcPr>
            <w:tcW w:w="4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KPI-10 Mes Pico, KPI-11 Unidades del Mes Pico</w:t>
            </w:r>
          </w:p>
        </w:tc>
      </w:tr>
      <w:tr>
        <w:tc>
          <w:tcPr>
            <w:tcW w:w="4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P6. ¿Qué % carece de serie/inventario?</w:t>
            </w:r>
          </w:p>
        </w:tc>
        <w:tc>
          <w:tcPr>
            <w:tcW w:w="4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KPI-12 % Sin Serie, KPI-13 % Sin Inventario</w:t>
            </w:r>
          </w:p>
        </w:tc>
      </w:tr>
      <w:tr>
        <w:tc>
          <w:tcPr>
            <w:tcW w:w="4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P7. ¿Existen seriales duplicados?</w:t>
            </w:r>
          </w:p>
        </w:tc>
        <w:tc>
          <w:tcPr>
            <w:tcW w:w="4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KPI-14 Seriales Duplicados</w:t>
            </w:r>
          </w:p>
        </w:tc>
      </w:tr>
    </w:tbl>
    <w:p>
      <w:pPr>
        <w:spacing w:after="120"/>
      </w:pPr>
    </w:p>
    <w:p>
      <w:pPr>
        <w:pStyle w:val="Heading1"/>
        <w:spacing w:after="160"/>
      </w:pPr>
      <w:r>
        <w:rPr/>
        <w:t xml:space="preserve">2. KPIs identificados (14 métricas clave)</w:t>
      </w:r>
    </w:p>
    <w:p>
      <w:pPr>
        <w:spacing w:after="120"/>
      </w:pPr>
      <w:r>
        <w:rPr/>
        <w:t xml:space="preserve">Se identificaron 14 KPIs, clasificados por tipo. El valor “actual” corresponde al cálculo sobre la base consolidada 2025–2026.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900"/>
        <w:gridCol w:w="3600"/>
        <w:gridCol w:w="1800"/>
        <w:gridCol w:w="2900"/>
      </w:tblGrid>
      <w:tr>
        <w:tc>
          <w:tcPr>
            <w:tcW w:w="9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6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w="18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29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Valor actual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KPI-01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Total Unidades dadas de baja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Volumen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1.322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KPI-02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Total Informes técnicos (DITI)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Volumen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104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KPI-03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Unidades por Informe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Eficiencia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12,7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KPI-04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Unidades por Categoría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Distribución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11 categorías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KPI-05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% Participación Categoría Top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Concentración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20,7% (Mouse)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KPI-06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Unidades por Marca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Distribución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27 marcas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KPI-07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Concentración de Marca Top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Concentración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33,7% (Dell)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KPI-08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Unidades Mensuales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Tendencia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promedio ~63/mes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KPI-09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Variación Anual %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Tendencia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+3,1% (26 vs 25)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KPI-10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Mes Pico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Tendencia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jul-2025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KPI-11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Unidades del Mes Pico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Tendencia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161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KPI-12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% Registros Sin Serie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Calidad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22,3%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KPI-13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% Registros Sin Inventario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Calidad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40,4%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KPI-14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Seriales Duplicados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Calidad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/>
      </w:pPr>
      <w:r>
        <w:rPr/>
        <w:t xml:space="preserve">3. Definiciones claras de cada KPI</w:t>
      </w:r>
    </w:p>
    <w:p>
      <w:pPr>
        <w:spacing w:after="20"/>
      </w:pPr>
      <w:r>
        <w:rPr>
          <w:b/>
          <w:color w:val="2563EB"/>
        </w:rPr>
        <w:t xml:space="preserve">KPI-01 · Total Unidades</w:t>
      </w:r>
    </w:p>
    <w:p>
      <w:pPr>
        <w:spacing w:after="100"/>
      </w:pPr>
      <w:r>
        <w:rPr/>
        <w:t xml:space="preserve">Suma de la columna Cantidad en todos los registros de baja. Mide el volumen físico de activos retirados de servicio.</w:t>
      </w:r>
    </w:p>
    <w:p>
      <w:pPr>
        <w:spacing w:after="20"/>
      </w:pPr>
      <w:r>
        <w:rPr>
          <w:b/>
          <w:color w:val="2563EB"/>
        </w:rPr>
        <w:t xml:space="preserve">KPI-02 · Total Informes (DITI)</w:t>
      </w:r>
    </w:p>
    <w:p>
      <w:pPr>
        <w:spacing w:after="100"/>
      </w:pPr>
      <w:r>
        <w:rPr/>
        <w:t xml:space="preserve">Número de consecutivos únicos (documentos DITI). Mide la carga administrativa de trámites de baja.</w:t>
      </w:r>
    </w:p>
    <w:p>
      <w:pPr>
        <w:spacing w:after="20"/>
      </w:pPr>
      <w:r>
        <w:rPr>
          <w:b/>
          <w:color w:val="2563EB"/>
        </w:rPr>
        <w:t xml:space="preserve">KPI-03 · Unidades por Informe</w:t>
      </w:r>
    </w:p>
    <w:p>
      <w:pPr>
        <w:spacing w:after="100"/>
      </w:pPr>
      <w:r>
        <w:rPr/>
        <w:t xml:space="preserve">Promedio de unidades por documento. Indica el tamaño medio de cada trámite (individual vs. lote).</w:t>
      </w:r>
    </w:p>
    <w:p>
      <w:pPr>
        <w:spacing w:after="20"/>
      </w:pPr>
      <w:r>
        <w:rPr>
          <w:b/>
          <w:color w:val="2563EB"/>
        </w:rPr>
        <w:t xml:space="preserve">KPI-04 · Unidades por Categoría</w:t>
      </w:r>
    </w:p>
    <w:p>
      <w:pPr>
        <w:spacing w:after="100"/>
      </w:pPr>
      <w:r>
        <w:rPr/>
        <w:t xml:space="preserve">Suma de unidades agrupada por categoría de activo (Mouse, Teléfono, Teclado, etc.).</w:t>
      </w:r>
    </w:p>
    <w:p>
      <w:pPr>
        <w:spacing w:after="20"/>
      </w:pPr>
      <w:r>
        <w:rPr>
          <w:b/>
          <w:color w:val="2563EB"/>
        </w:rPr>
        <w:t xml:space="preserve">KPI-05 · % Participación Categoría Top</w:t>
      </w:r>
    </w:p>
    <w:p>
      <w:pPr>
        <w:spacing w:after="100"/>
      </w:pPr>
      <w:r>
        <w:rPr/>
        <w:t xml:space="preserve">Peso de la categoría con más bajas sobre el total. Señala dónde se concentra la obsolescencia.</w:t>
      </w:r>
    </w:p>
    <w:p>
      <w:pPr>
        <w:spacing w:after="20"/>
      </w:pPr>
      <w:r>
        <w:rPr>
          <w:b/>
          <w:color w:val="2563EB"/>
        </w:rPr>
        <w:t xml:space="preserve">KPI-06 · Unidades por Marca</w:t>
      </w:r>
    </w:p>
    <w:p>
      <w:pPr>
        <w:spacing w:after="100"/>
      </w:pPr>
      <w:r>
        <w:rPr/>
        <w:t xml:space="preserve">Suma de unidades agrupada por marca/fabricante. Apoya decisiones de proveedor.</w:t>
      </w:r>
    </w:p>
    <w:p>
      <w:pPr>
        <w:spacing w:after="20"/>
      </w:pPr>
      <w:r>
        <w:rPr>
          <w:b/>
          <w:color w:val="2563EB"/>
        </w:rPr>
        <w:t xml:space="preserve">KPI-07 · Concentración de Marca Top</w:t>
      </w:r>
    </w:p>
    <w:p>
      <w:pPr>
        <w:spacing w:after="100"/>
      </w:pPr>
      <w:r>
        <w:rPr/>
        <w:t xml:space="preserve">Peso de la marca con más bajas sobre el total. Mide dependencia de un fabricante.</w:t>
      </w:r>
    </w:p>
    <w:p>
      <w:pPr>
        <w:spacing w:after="20"/>
      </w:pPr>
      <w:r>
        <w:rPr>
          <w:b/>
          <w:color w:val="2563EB"/>
        </w:rPr>
        <w:t xml:space="preserve">KPI-08 · Unidades Mensuales</w:t>
      </w:r>
    </w:p>
    <w:p>
      <w:pPr>
        <w:spacing w:after="100"/>
      </w:pPr>
      <w:r>
        <w:rPr/>
        <w:t xml:space="preserve">Suma de unidades por mes calendario (AnioMes). Base de la serie temporal.</w:t>
      </w:r>
    </w:p>
    <w:p>
      <w:pPr>
        <w:spacing w:after="20"/>
      </w:pPr>
      <w:r>
        <w:rPr>
          <w:b/>
          <w:color w:val="2563EB"/>
        </w:rPr>
        <w:t xml:space="preserve">KPI-09 · Variación Anual %</w:t>
      </w:r>
    </w:p>
    <w:p>
      <w:pPr>
        <w:spacing w:after="100"/>
      </w:pPr>
      <w:r>
        <w:rPr/>
        <w:t xml:space="preserve">Cambio porcentual de unidades de 2026 frente a 2025. Mide la tendencia interanual.</w:t>
      </w:r>
    </w:p>
    <w:p>
      <w:pPr>
        <w:spacing w:after="20"/>
      </w:pPr>
      <w:r>
        <w:rPr>
          <w:b/>
          <w:color w:val="2563EB"/>
        </w:rPr>
        <w:t xml:space="preserve">KPI-10 · Mes Pico</w:t>
      </w:r>
    </w:p>
    <w:p>
      <w:pPr>
        <w:spacing w:after="100"/>
      </w:pPr>
      <w:r>
        <w:rPr/>
        <w:t xml:space="preserve">Mes con mayor número de unidades dadas de baja. Identifica estacionalidad/eventos.</w:t>
      </w:r>
    </w:p>
    <w:p>
      <w:pPr>
        <w:spacing w:after="20"/>
      </w:pPr>
      <w:r>
        <w:rPr>
          <w:b/>
          <w:color w:val="2563EB"/>
        </w:rPr>
        <w:t xml:space="preserve">KPI-11 · Unidades del Mes Pico</w:t>
      </w:r>
    </w:p>
    <w:p>
      <w:pPr>
        <w:spacing w:after="100"/>
      </w:pPr>
      <w:r>
        <w:rPr/>
        <w:t xml:space="preserve">Cantidad de unidades del mes pico. Dimensiona el máximo esfuerzo de disposición.</w:t>
      </w:r>
    </w:p>
    <w:p>
      <w:pPr>
        <w:spacing w:after="20"/>
      </w:pPr>
      <w:r>
        <w:rPr>
          <w:b/>
          <w:color w:val="2563EB"/>
        </w:rPr>
        <w:t xml:space="preserve">KPI-12 · % Sin Serie</w:t>
      </w:r>
    </w:p>
    <w:p>
      <w:pPr>
        <w:spacing w:after="100"/>
      </w:pPr>
      <w:r>
        <w:rPr/>
        <w:t xml:space="preserve">Proporción de registros sin número de serie. Indicador de trazabilidad.</w:t>
      </w:r>
    </w:p>
    <w:p>
      <w:pPr>
        <w:spacing w:after="20"/>
      </w:pPr>
      <w:r>
        <w:rPr>
          <w:b/>
          <w:color w:val="2563EB"/>
        </w:rPr>
        <w:t xml:space="preserve">KPI-13 · % Sin Inventario</w:t>
      </w:r>
    </w:p>
    <w:p>
      <w:pPr>
        <w:spacing w:after="100"/>
      </w:pPr>
      <w:r>
        <w:rPr/>
        <w:t xml:space="preserve">Proporción de registros sin número de inventario. Indicador de control patrimonial.</w:t>
      </w:r>
    </w:p>
    <w:p>
      <w:pPr>
        <w:spacing w:after="20"/>
      </w:pPr>
      <w:r>
        <w:rPr>
          <w:b/>
          <w:color w:val="2563EB"/>
        </w:rPr>
        <w:t xml:space="preserve">KPI-14 · Seriales Duplicados</w:t>
      </w:r>
    </w:p>
    <w:p>
      <w:pPr>
        <w:spacing w:after="100"/>
      </w:pPr>
      <w:r>
        <w:rPr/>
        <w:t xml:space="preserve">Cantidad de números de serie que aparecen más de una vez. Control de dobles registros.</w:t>
      </w:r>
    </w:p>
    <w:p>
      <w:r>
        <w:br w:type="page"/>
      </w:r>
    </w:p>
    <w:p>
      <w:pPr>
        <w:pStyle w:val="Heading1"/>
        <w:spacing w:after="160"/>
      </w:pPr>
      <w:r>
        <w:rPr/>
        <w:t xml:space="preserve">4. Fórmulas exactas (SQL y Python/DAX)</w:t>
      </w:r>
    </w:p>
    <w:p>
      <w:pPr>
        <w:spacing w:after="120"/>
      </w:pPr>
      <w:r>
        <w:rPr/>
        <w:t xml:space="preserve">A continuación las fórmulas de los KPIs representativos. Se asume una tabla bajas_consolidado con las columnas definidas en el diccionario (sección 8).</w:t>
      </w:r>
    </w:p>
    <w:p>
      <w:pPr>
        <w:spacing w:after="120"/>
      </w:pPr>
      <w:r>
        <w:rPr>
          <w:b/>
          <w:color w:val="2563EB"/>
        </w:rPr>
        <w:t xml:space="preserve">KPI-01 · Total Unidades</w:t>
      </w:r>
    </w:p>
    <w:p>
      <w:pPr>
        <w:spacing w:after="0"/>
      </w:pPr>
      <w:r>
        <w:rPr>
          <w:rFonts w:ascii="Consolas" w:hAnsi="Consolas"/>
          <w:color w:val="6B7688"/>
          <w:sz w:val="16"/>
          <w:szCs w:val="16"/>
        </w:rPr>
        <w:t xml:space="preserve">SQL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-- SQL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SELECT SUM(Cantidad) AS total_unidades FROM bajas_consolidado;</w:t>
      </w:r>
    </w:p>
    <w:p>
      <w:pPr>
        <w:spacing w:after="100"/>
      </w:pPr>
    </w:p>
    <w:p>
      <w:pPr>
        <w:spacing w:after="0"/>
      </w:pPr>
      <w:r>
        <w:rPr>
          <w:rFonts w:ascii="Consolas" w:hAnsi="Consolas"/>
          <w:color w:val="6B7688"/>
          <w:sz w:val="16"/>
          <w:szCs w:val="16"/>
        </w:rPr>
        <w:t xml:space="preserve">Python / DAX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# Python (pandas)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df['Cantidad'].sum()</w:t>
      </w:r>
    </w:p>
    <w:p>
      <w:pPr>
        <w:shd w:val="clear" w:color="auto" w:fill="F4F6FB"/>
        <w:spacing w:after="0"/>
      </w:pP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// DAX (Power BI)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Total Unidades = SUM ( bajas_consolidado[Cantidad] )</w:t>
      </w:r>
    </w:p>
    <w:p>
      <w:pPr>
        <w:spacing w:after="100"/>
      </w:pPr>
    </w:p>
    <w:p>
      <w:pPr>
        <w:spacing w:after="120"/>
      </w:pPr>
      <w:r>
        <w:rPr>
          <w:b/>
          <w:color w:val="2563EB"/>
        </w:rPr>
        <w:t xml:space="preserve">KPI-02 · Total Informes (DITI)</w:t>
      </w:r>
    </w:p>
    <w:p>
      <w:pPr>
        <w:spacing w:after="0"/>
      </w:pPr>
      <w:r>
        <w:rPr>
          <w:rFonts w:ascii="Consolas" w:hAnsi="Consolas"/>
          <w:color w:val="6B7688"/>
          <w:sz w:val="16"/>
          <w:szCs w:val="16"/>
        </w:rPr>
        <w:t xml:space="preserve">SQL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-- SQL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SELECT COUNT(DISTINCT Consecutivo) AS total_informes FROM bajas_consolidado;</w:t>
      </w:r>
    </w:p>
    <w:p>
      <w:pPr>
        <w:spacing w:after="100"/>
      </w:pPr>
    </w:p>
    <w:p>
      <w:pPr>
        <w:spacing w:after="0"/>
      </w:pPr>
      <w:r>
        <w:rPr>
          <w:rFonts w:ascii="Consolas" w:hAnsi="Consolas"/>
          <w:color w:val="6B7688"/>
          <w:sz w:val="16"/>
          <w:szCs w:val="16"/>
        </w:rPr>
        <w:t xml:space="preserve">Python / DAX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# Python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df['Consecutivo'].nunique()</w:t>
      </w:r>
    </w:p>
    <w:p>
      <w:pPr>
        <w:shd w:val="clear" w:color="auto" w:fill="F4F6FB"/>
        <w:spacing w:after="0"/>
      </w:pP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// DAX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Total Informes = DISTINCTCOUNT ( bajas_consolidado[Consecutivo] )</w:t>
      </w:r>
    </w:p>
    <w:p>
      <w:pPr>
        <w:spacing w:after="100"/>
      </w:pPr>
    </w:p>
    <w:p>
      <w:pPr>
        <w:spacing w:after="120"/>
      </w:pPr>
      <w:r>
        <w:rPr>
          <w:b/>
          <w:color w:val="2563EB"/>
        </w:rPr>
        <w:t xml:space="preserve">KPI-03 · Unidades por Informe</w:t>
      </w:r>
    </w:p>
    <w:p>
      <w:pPr>
        <w:spacing w:after="0"/>
      </w:pPr>
      <w:r>
        <w:rPr>
          <w:rFonts w:ascii="Consolas" w:hAnsi="Consolas"/>
          <w:color w:val="6B7688"/>
          <w:sz w:val="16"/>
          <w:szCs w:val="16"/>
        </w:rPr>
        <w:t xml:space="preserve">SQL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-- SQL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SELECT SUM(Cantidad) * 1.0 / COUNT(DISTINCT Consecutivo)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FROM bajas_consolidado;</w:t>
      </w:r>
    </w:p>
    <w:p>
      <w:pPr>
        <w:spacing w:after="100"/>
      </w:pPr>
    </w:p>
    <w:p>
      <w:pPr>
        <w:spacing w:after="0"/>
      </w:pPr>
      <w:r>
        <w:rPr>
          <w:rFonts w:ascii="Consolas" w:hAnsi="Consolas"/>
          <w:color w:val="6B7688"/>
          <w:sz w:val="16"/>
          <w:szCs w:val="16"/>
        </w:rPr>
        <w:t xml:space="preserve">Python / DAX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# Python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df['Cantidad'].sum() / df['Consecutivo'].nunique()</w:t>
      </w:r>
    </w:p>
    <w:p>
      <w:pPr>
        <w:shd w:val="clear" w:color="auto" w:fill="F4F6FB"/>
        <w:spacing w:after="0"/>
      </w:pP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// DAX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Unidades por Informe = DIVIDE ( [Total Unidades], [Total Informes] )</w:t>
      </w:r>
    </w:p>
    <w:p>
      <w:pPr>
        <w:spacing w:after="100"/>
      </w:pPr>
    </w:p>
    <w:p>
      <w:pPr>
        <w:spacing w:after="120"/>
      </w:pPr>
      <w:r>
        <w:rPr>
          <w:b/>
          <w:color w:val="2563EB"/>
        </w:rPr>
        <w:t xml:space="preserve">KPI-09 · Variación Anual %</w:t>
      </w:r>
    </w:p>
    <w:p>
      <w:pPr>
        <w:spacing w:after="0"/>
      </w:pPr>
      <w:r>
        <w:rPr>
          <w:rFonts w:ascii="Consolas" w:hAnsi="Consolas"/>
          <w:color w:val="6B7688"/>
          <w:sz w:val="16"/>
          <w:szCs w:val="16"/>
        </w:rPr>
        <w:t xml:space="preserve">SQL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-- SQL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WITH t AS (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  SELECT Anio, SUM(Cantidad) u FROM bajas_consolidado GROUP BY Anio)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SELECT (MAX(CASE WHEN Anio=2026 THEN u END) -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        MAX(CASE WHEN Anio=2025 THEN u END)) * 1.0 /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        MAX(CASE WHEN Anio=2025 THEN u END) AS variacion FROM t;</w:t>
      </w:r>
    </w:p>
    <w:p>
      <w:pPr>
        <w:spacing w:after="100"/>
      </w:pPr>
    </w:p>
    <w:p>
      <w:pPr>
        <w:spacing w:after="0"/>
      </w:pPr>
      <w:r>
        <w:rPr>
          <w:rFonts w:ascii="Consolas" w:hAnsi="Consolas"/>
          <w:color w:val="6B7688"/>
          <w:sz w:val="16"/>
          <w:szCs w:val="16"/>
        </w:rPr>
        <w:t xml:space="preserve">Python / DAX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# Python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u = df.groupby('Anio')['Cantidad'].sum()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(u[2026] - u[2025]) / u[2025]</w:t>
      </w:r>
    </w:p>
    <w:p>
      <w:pPr>
        <w:shd w:val="clear" w:color="auto" w:fill="F4F6FB"/>
        <w:spacing w:after="0"/>
      </w:pP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// DAX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Variacion % 25 vs 26 =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VAR a = [Unidades 2025] VAR b = [Unidades 2026]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RETURN DIVIDE ( b - a, a )</w:t>
      </w:r>
    </w:p>
    <w:p>
      <w:pPr>
        <w:spacing w:after="100"/>
      </w:pPr>
    </w:p>
    <w:p>
      <w:pPr>
        <w:spacing w:after="120"/>
      </w:pPr>
      <w:r>
        <w:rPr>
          <w:b/>
          <w:color w:val="2563EB"/>
        </w:rPr>
        <w:t xml:space="preserve">KPI-13 · % Sin Inventario</w:t>
      </w:r>
    </w:p>
    <w:p>
      <w:pPr>
        <w:spacing w:after="0"/>
      </w:pPr>
      <w:r>
        <w:rPr>
          <w:rFonts w:ascii="Consolas" w:hAnsi="Consolas"/>
          <w:color w:val="6B7688"/>
          <w:sz w:val="16"/>
          <w:szCs w:val="16"/>
        </w:rPr>
        <w:t xml:space="preserve">SQL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-- SQL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SELECT AVG(CASE WHEN No_inventario IS NULL OR No_inventario='' 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            THEN 1.0 ELSE 0 END) AS pct_sin_inventario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FROM bajas_consolidado;</w:t>
      </w:r>
    </w:p>
    <w:p>
      <w:pPr>
        <w:spacing w:after="100"/>
      </w:pPr>
    </w:p>
    <w:p>
      <w:pPr>
        <w:spacing w:after="0"/>
      </w:pPr>
      <w:r>
        <w:rPr>
          <w:rFonts w:ascii="Consolas" w:hAnsi="Consolas"/>
          <w:color w:val="6B7688"/>
          <w:sz w:val="16"/>
          <w:szCs w:val="16"/>
        </w:rPr>
        <w:t xml:space="preserve">Python / DAX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# Python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(df['TieneInventario'] == 'No').mean()</w:t>
      </w:r>
    </w:p>
    <w:p>
      <w:pPr>
        <w:shd w:val="clear" w:color="auto" w:fill="F4F6FB"/>
        <w:spacing w:after="0"/>
      </w:pP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// DAX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% Sin Inventario =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DIVIDE ( CALCULATE([Total Registros],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  bajas_consolidado[TieneInventario]="No"), [Total Registros] )</w:t>
      </w:r>
    </w:p>
    <w:p>
      <w:pPr>
        <w:spacing w:after="100"/>
      </w:pPr>
    </w:p>
    <w:p>
      <w:pPr>
        <w:spacing w:after="120"/>
      </w:pPr>
      <w:r>
        <w:rPr>
          <w:b/>
          <w:color w:val="2563EB"/>
        </w:rPr>
        <w:t xml:space="preserve">KPI-14 · Seriales Duplicados</w:t>
      </w:r>
    </w:p>
    <w:p>
      <w:pPr>
        <w:spacing w:after="0"/>
      </w:pPr>
      <w:r>
        <w:rPr>
          <w:rFonts w:ascii="Consolas" w:hAnsi="Consolas"/>
          <w:color w:val="6B7688"/>
          <w:sz w:val="16"/>
          <w:szCs w:val="16"/>
        </w:rPr>
        <w:t xml:space="preserve">SQL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-- SQL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SELECT COUNT(*) FROM (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  SELECT [Serie No.] FROM bajas_consolidado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  WHERE [Serie No.] &lt;&gt; '' GROUP BY [Serie No.]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  HAVING COUNT(*) &gt; 1) t;</w:t>
      </w:r>
    </w:p>
    <w:p>
      <w:pPr>
        <w:spacing w:after="100"/>
      </w:pPr>
    </w:p>
    <w:p>
      <w:pPr>
        <w:spacing w:after="0"/>
      </w:pPr>
      <w:r>
        <w:rPr>
          <w:rFonts w:ascii="Consolas" w:hAnsi="Consolas"/>
          <w:color w:val="6B7688"/>
          <w:sz w:val="16"/>
          <w:szCs w:val="16"/>
        </w:rPr>
        <w:t xml:space="preserve">Python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# Python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s = df.loc[df['Serie No.']!='', 'Serie No.']</w:t>
      </w:r>
    </w:p>
    <w:p>
      <w:pPr>
        <w:shd w:val="clear" w:color="auto" w:fill="F4F6FB"/>
        <w:spacing w:after="0"/>
      </w:pPr>
      <w:r>
        <w:rPr>
          <w:rFonts w:ascii="Consolas" w:hAnsi="Consolas"/>
          <w:sz w:val="18"/>
          <w:szCs w:val="18"/>
        </w:rPr>
        <w:t xml:space="preserve">(s.value_counts() &gt; 1).sum()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160"/>
      </w:pPr>
      <w:r>
        <w:rPr/>
        <w:t xml:space="preserve">5. Frecuencia de actualización</w:t>
      </w:r>
    </w:p>
    <w:p>
      <w:pPr>
        <w:spacing w:after="120"/>
      </w:pPr>
      <w:r>
        <w:rPr/>
        <w:t xml:space="preserve">La cadencia de cálculo se alinea con el ritmo de los trámites de baja (no es tiempo real).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200"/>
        <w:gridCol w:w="4000"/>
      </w:tblGrid>
      <w:tr>
        <w:tc>
          <w:tcPr>
            <w:tcW w:w="52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w="40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Frecuencia recomendada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KPI-01 a KPI-07 (volumen, distribución)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Mensual (al cierre de mes)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KPI-08 a KPI-11 (tendencia/temporales)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KPI-12 a KPI-14 (calidad de datos)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Mensual, con revisión al cargar nuevos informes</w:t>
            </w:r>
          </w:p>
        </w:tc>
      </w:tr>
    </w:tbl>
    <w:p>
      <w:pPr>
        <w:spacing w:after="120"/>
      </w:pPr>
    </w:p>
    <w:p>
      <w:pPr>
        <w:spacing w:after="120"/>
      </w:pPr>
      <w:r>
        <w:rPr/>
        <w:t xml:space="preserve">Mecanismo: el script procesar_bajas.py regenera la base consolidada a partir de los CSV; en Power BI basta pulsar “Actualizar”. Si se publica en Power BI Service, puede programarse una actualización automática mensual.</w:t>
      </w:r>
    </w:p>
    <w:p>
      <w:pPr>
        <w:pStyle w:val="Heading1"/>
        <w:spacing w:after="160"/>
      </w:pPr>
      <w:r>
        <w:rPr/>
        <w:t xml:space="preserve">6. Benchmarks: qué es bueno / malo</w:t>
      </w:r>
    </w:p>
    <w:p>
      <w:pPr>
        <w:spacing w:after="120"/>
      </w:pPr>
      <w:r>
        <w:rPr/>
        <w:t xml:space="preserve">Umbrales de referencia para interpretar cada KPI de calidad y concentración. Los límites son metas de gestión propuestas para el área de activos de TI.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00"/>
        <w:gridCol w:w="1400"/>
        <w:gridCol w:w="1600"/>
        <w:gridCol w:w="1200"/>
        <w:gridCol w:w="2000"/>
      </w:tblGrid>
      <w:tr>
        <w:tc>
          <w:tcPr>
            <w:tcW w:w="30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w="14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Bueno</w:t>
            </w:r>
          </w:p>
        </w:tc>
        <w:tc>
          <w:tcPr>
            <w:tcW w:w="16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Aceptable</w:t>
            </w:r>
          </w:p>
        </w:tc>
        <w:tc>
          <w:tcPr>
            <w:tcW w:w="12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Malo</w:t>
            </w:r>
          </w:p>
        </w:tc>
        <w:tc>
          <w:tcPr>
            <w:tcW w:w="20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Actual</w:t>
            </w:r>
          </w:p>
        </w:tc>
      </w:tr>
      <w:t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KPI-05 % Categoría Top</w:t>
            </w:r>
          </w:p>
        </w:tc>
        <w:tc>
          <w:tcPr>
            <w:tcW w:w="1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&lt; 25%</w:t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25–40%</w:t>
            </w:r>
          </w:p>
        </w:tc>
        <w:tc>
          <w:tcPr>
            <w:tcW w:w="1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&gt; 40%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20,7% ✔</w:t>
            </w:r>
          </w:p>
        </w:tc>
      </w:tr>
      <w:t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KPI-07 Concentración Marca Top</w:t>
            </w:r>
          </w:p>
        </w:tc>
        <w:tc>
          <w:tcPr>
            <w:tcW w:w="1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&lt; 35%</w:t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35–50%</w:t>
            </w:r>
          </w:p>
        </w:tc>
        <w:tc>
          <w:tcPr>
            <w:tcW w:w="1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&gt; 50%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33,7% ✔</w:t>
            </w:r>
          </w:p>
        </w:tc>
      </w:tr>
      <w:t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KPI-09 Variación Anual %</w:t>
            </w:r>
          </w:p>
        </w:tc>
        <w:tc>
          <w:tcPr>
            <w:tcW w:w="1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±10%</w:t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±10–25%</w:t>
            </w:r>
          </w:p>
        </w:tc>
        <w:tc>
          <w:tcPr>
            <w:tcW w:w="1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&gt; 25%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+3,1% ✔</w:t>
            </w:r>
          </w:p>
        </w:tc>
      </w:tr>
      <w:t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KPI-12 % Sin Serie</w:t>
            </w:r>
          </w:p>
        </w:tc>
        <w:tc>
          <w:tcPr>
            <w:tcW w:w="1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&lt; 10%</w:t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10–20%</w:t>
            </w:r>
          </w:p>
        </w:tc>
        <w:tc>
          <w:tcPr>
            <w:tcW w:w="1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&gt; 20%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22,3% ✘</w:t>
            </w:r>
          </w:p>
        </w:tc>
      </w:tr>
      <w:t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KPI-13 % Sin Inventario</w:t>
            </w:r>
          </w:p>
        </w:tc>
        <w:tc>
          <w:tcPr>
            <w:tcW w:w="1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&lt; 10%</w:t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10–25%</w:t>
            </w:r>
          </w:p>
        </w:tc>
        <w:tc>
          <w:tcPr>
            <w:tcW w:w="1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&gt; 25%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40,4% ✘</w:t>
            </w:r>
          </w:p>
        </w:tc>
      </w:tr>
      <w:t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KPI-14 Seriales Duplicados</w:t>
            </w:r>
          </w:p>
        </w:tc>
        <w:tc>
          <w:tcPr>
            <w:tcW w:w="1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1–5</w:t>
            </w:r>
          </w:p>
        </w:tc>
        <w:tc>
          <w:tcPr>
            <w:tcW w:w="1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&gt; 5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 ⚠</w:t>
            </w:r>
          </w:p>
        </w:tc>
      </w:tr>
    </w:tbl>
    <w:p>
      <w:pPr>
        <w:spacing w:after="120"/>
      </w:pPr>
    </w:p>
    <w:p>
      <w:pPr>
        <w:spacing w:after="120"/>
      </w:pPr>
      <w:r>
        <w:rPr/>
        <w:t xml:space="preserve">Lectura: los KPIs de concentración y tendencia están en zona saludable. Los indicadores de trazabilidad (serie e inventario) están en zona crítica y constituyen la principal oportunidad de mejora del proceso de registro de bajas.</w:t>
      </w:r>
    </w:p>
    <w:p>
      <w:pPr>
        <w:pStyle w:val="Heading1"/>
        <w:spacing w:after="160"/>
      </w:pPr>
      <w:r>
        <w:rPr/>
        <w:t xml:space="preserve">7. Jerarquía: KPIs primarios vs. secundarios</w:t>
      </w:r>
    </w:p>
    <w:p>
      <w:pPr>
        <w:spacing w:after="120"/>
      </w:pPr>
      <w:r>
        <w:rPr>
          <w:b/>
        </w:rPr>
        <w:t xml:space="preserve">KPIs primarios (tablero ejecutivo — primera mirada):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KPI-01 Total Unidades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KPI-02 Total Informes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KPI-09 Variación Anual %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KPI-05 % Participación Categoría Top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KPI-13 % Sin Inventario (señal de calidad crítica)</w:t>
      </w:r>
    </w:p>
    <w:p>
      <w:pPr>
        <w:spacing w:after="120"/>
      </w:pPr>
      <w:r>
        <w:rPr>
          <w:b/>
        </w:rPr>
        <w:t xml:space="preserve">KPIs secundarios (análisis de detalle y soporte):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KPI-03 Unidades por Informe, KPI-04 Unidades por Categoría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KPI-06 Unidades por Marca, KPI-07 Concentración de Marca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KPI-08 Unidades Mensuales, KPI-10 Mes Pico, KPI-11 Unidades del Mes Pico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KPI-12 % Sin Serie, KPI-14 Seriales Duplicados</w:t>
      </w:r>
    </w:p>
    <w:p>
      <w:r>
        <w:br w:type="page"/>
      </w:r>
    </w:p>
    <w:p>
      <w:pPr>
        <w:pStyle w:val="Heading1"/>
        <w:spacing w:after="160"/>
      </w:pPr>
      <w:r>
        <w:rPr/>
        <w:t xml:space="preserve">8. Diccionario de datos (métricas documentadas)</w:t>
      </w:r>
    </w:p>
    <w:p>
      <w:pPr>
        <w:spacing w:after="120"/>
      </w:pPr>
      <w:r>
        <w:rPr/>
        <w:t xml:space="preserve">Ficha técnica de cada KPI: unidad de medida, origen y dirección deseada (↑ mejor subir / ↓ mejor bajar / = estable).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900"/>
        <w:gridCol w:w="2500"/>
        <w:gridCol w:w="1500"/>
        <w:gridCol w:w="2800"/>
        <w:gridCol w:w="700"/>
      </w:tblGrid>
      <w:tr>
        <w:tc>
          <w:tcPr>
            <w:tcW w:w="9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w="25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6"/>
                <w:szCs w:val="16"/>
              </w:rPr>
              <w:t xml:space="preserve">Métrica</w:t>
            </w:r>
          </w:p>
        </w:tc>
        <w:tc>
          <w:tcPr>
            <w:tcW w:w="15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6"/>
                <w:szCs w:val="16"/>
              </w:rPr>
              <w:t xml:space="preserve">Unidad</w:t>
            </w:r>
          </w:p>
        </w:tc>
        <w:tc>
          <w:tcPr>
            <w:tcW w:w="28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6"/>
                <w:szCs w:val="16"/>
              </w:rPr>
              <w:t xml:space="preserve">Origen (columnas)</w:t>
            </w:r>
          </w:p>
        </w:tc>
        <w:tc>
          <w:tcPr>
            <w:tcW w:w="700" w:type="dxa"/>
            <w:shd w:val="clear" w:color="auto" w:fill="E2001A"/>
          </w:tcPr>
          <w:p>
            <w:pPr>
              <w:spacing w:after="20"/>
            </w:pPr>
            <w:r>
              <w:rPr>
                <w:b/>
                <w:color w:val="FFFFFF"/>
                <w:sz w:val="16"/>
                <w:szCs w:val="16"/>
              </w:rPr>
              <w:t xml:space="preserve">Dir.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KPI-01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Total Unidades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unidades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Cantidad</w:t>
            </w:r>
          </w:p>
        </w:tc>
        <w:tc>
          <w:tcPr>
            <w:tcW w:w="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=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KPI-02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Total Informes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documentos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Consecutivo</w:t>
            </w:r>
          </w:p>
        </w:tc>
        <w:tc>
          <w:tcPr>
            <w:tcW w:w="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=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KPI-03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Unidades por Informe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ratio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Cantidad / Consecutivo</w:t>
            </w:r>
          </w:p>
        </w:tc>
        <w:tc>
          <w:tcPr>
            <w:tcW w:w="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=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KPI-04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Unidades por Categoría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unidades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Cantidad × Categoria</w:t>
            </w:r>
          </w:p>
        </w:tc>
        <w:tc>
          <w:tcPr>
            <w:tcW w:w="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=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KPI-05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% Categoría Top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%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Cantidad × Categoria</w:t>
            </w:r>
          </w:p>
        </w:tc>
        <w:tc>
          <w:tcPr>
            <w:tcW w:w="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↓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KPI-06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Unidades por Marca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unidades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Cantidad × Marca</w:t>
            </w:r>
          </w:p>
        </w:tc>
        <w:tc>
          <w:tcPr>
            <w:tcW w:w="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=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KPI-07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Concentración Marca Top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%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Cantidad × Marca</w:t>
            </w:r>
          </w:p>
        </w:tc>
        <w:tc>
          <w:tcPr>
            <w:tcW w:w="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↓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KPI-08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Unidades Mensuales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unidades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Cantidad × AnioMes</w:t>
            </w:r>
          </w:p>
        </w:tc>
        <w:tc>
          <w:tcPr>
            <w:tcW w:w="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=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KPI-09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Variación Anual %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%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Cantidad × Anio</w:t>
            </w:r>
          </w:p>
        </w:tc>
        <w:tc>
          <w:tcPr>
            <w:tcW w:w="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=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KPI-10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Mes Pico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texto (AnioMes)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Cantidad × AnioMes</w:t>
            </w:r>
          </w:p>
        </w:tc>
        <w:tc>
          <w:tcPr>
            <w:tcW w:w="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=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KPI-11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Unidades Mes Pico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unidades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Cantidad × AnioMes</w:t>
            </w:r>
          </w:p>
        </w:tc>
        <w:tc>
          <w:tcPr>
            <w:tcW w:w="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=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KPI-12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% Sin Serie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%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TieneSerial</w:t>
            </w:r>
          </w:p>
        </w:tc>
        <w:tc>
          <w:tcPr>
            <w:tcW w:w="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↓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KPI-13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% Sin Inventario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%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TieneInventario</w:t>
            </w:r>
          </w:p>
        </w:tc>
        <w:tc>
          <w:tcPr>
            <w:tcW w:w="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↓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KPI-14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Seriales Duplicados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conteo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Serie No.</w:t>
            </w:r>
          </w:p>
        </w:tc>
        <w:tc>
          <w:tcPr>
            <w:tcW w:w="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↓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jc w:val="center"/>
        <w:spacing w:after="0"/>
      </w:pPr>
      <w:r>
        <w:rPr>
          <w:i/>
          <w:color w:val="6B7688"/>
        </w:rPr>
        <w:t xml:space="preserve">Fin del Entregable 3.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s-CO"/>
      </w:rPr>
    </w:rPrDefault>
  </w:docDefaults>
  <w:style w:type="paragraph" w:default="1" w:styleId="Normal">
    <w:name w:val="Normal"/>
    <w:pPr>
      <w:spacing w:line="276" w:lineRule="auto"/>
    </w:pPr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color w:val="E2001A"/>
      <w:sz w:val="30"/>
      <w:szCs w:val="30"/>
    </w:rPr>
  </w:style>
  <w:style w:type="paragraph" w:styleId="Heading2">
    <w:name w:val="heading 2"/>
    <w:basedOn w:val="Normal"/>
    <w:pPr>
      <w:keepNext/>
      <w:spacing w:before="200" w:after="80"/>
      <w:outlineLvl w:val="1"/>
    </w:pPr>
    <w:rPr>
      <w:b/>
      <w:color w:val="2563EB"/>
      <w:sz w:val="26"/>
      <w:szCs w:val="26"/>
    </w:rPr>
  </w:style>
  <w:style w:type="paragraph" w:styleId="Heading3">
    <w:name w:val="heading 3"/>
    <w:basedOn w:val="Normal"/>
    <w:pPr>
      <w:keepNext/>
      <w:spacing w:before="160" w:after="60"/>
      <w:outlineLvl w:val="2"/>
    </w:pPr>
    <w:rPr>
      <w:b/>
      <w:sz w:val="24"/>
      <w:szCs w:val="24"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Python docx generator</Application>
  <Company>Universidad Autonoma de Occidente</Company>
</Properties>
</file>

<file path=docProps/core.xml><?xml version="1.0" encoding="utf-8"?>
<cp:coreProperties xmlns:cp="http://schemas.openxmlformats.org/package/2006/metadata/core-properties" xmlns:dc="http://purl.org/dc/elements/1.1/">
  <dc:title>Entregable 3 - KPIs e Indicadores</dc:title>
  <dc:subject>Dashboard Bajas de Activos TI - UAO</dc:subject>
  <dc:creator>Proyecto Seminario IA</dc:creator>
</cp:coreProperties>
</file>