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40"/>
      </w:pPr>
      <w:r>
        <w:rPr>
          <w:b/>
          <w:color w:val="E2001A"/>
          <w:sz w:val="28"/>
          <w:szCs w:val="28"/>
        </w:rPr>
        <w:t xml:space="preserve">UNIVERSIDAD AUTÓNOMA DE OCCIDENTE</w:t>
      </w:r>
    </w:p>
    <w:p>
      <w:pPr>
        <w:jc w:val="center"/>
        <w:spacing w:after="400"/>
      </w:pPr>
      <w:r>
        <w:rPr>
          <w:i/>
          <w:sz w:val="24"/>
          <w:szCs w:val="24"/>
        </w:rPr>
        <w:t xml:space="preserve">Seminario de Inteligencia Artificial</w:t>
      </w:r>
    </w:p>
    <w:p>
      <w:pPr>
        <w:jc w:val="center"/>
        <w:spacing w:after="80"/>
      </w:pPr>
      <w:r>
        <w:rPr>
          <w:b/>
          <w:sz w:val="52"/>
          <w:szCs w:val="52"/>
        </w:rPr>
        <w:t xml:space="preserve">ENTREGABLE 5</w:t>
      </w:r>
    </w:p>
    <w:p>
      <w:pPr>
        <w:jc w:val="center"/>
        <w:spacing w:after="120"/>
      </w:pPr>
      <w:r>
        <w:rPr>
          <w:b/>
          <w:color w:val="E2001A"/>
          <w:sz w:val="36"/>
          <w:szCs w:val="36"/>
        </w:rPr>
        <w:t xml:space="preserve">Diseño de Visualizaciones</w:t>
      </w:r>
    </w:p>
    <w:p>
      <w:pPr>
        <w:jc w:val="center"/>
        <w:spacing w:after="40"/>
      </w:pPr>
      <w:r>
        <w:rPr>
          <w:sz w:val="26"/>
          <w:szCs w:val="26"/>
        </w:rPr>
        <w:t xml:space="preserve">Proyecto: Dashboard de Bajas de Activos de TI — UAO</w:t>
      </w:r>
    </w:p>
    <w:p>
      <w:pPr>
        <w:jc w:val="center"/>
        <w:spacing w:after="400"/>
      </w:pPr>
      <w:r>
        <w:rPr>
          <w:i/>
          <w:color w:val="6B7688"/>
          <w:sz w:val="22"/>
          <w:szCs w:val="22"/>
        </w:rPr>
        <w:t xml:space="preserve">Complejidad: Media · Período 2025–2026</w:t>
      </w:r>
    </w:p>
    <w:p>
      <w:pPr>
        <w:jc w:val="center"/>
        <w:spacing w:after="20"/>
      </w:pPr>
      <w:r>
        <w:rPr>
          <w:color w:val="6B7688"/>
          <w:sz w:val="20"/>
          <w:szCs w:val="20"/>
        </w:rPr>
        <w:t xml:space="preserve">Nota: los wireframes, la paleta/tipografía y los mockups de alta fidelidad se entregan como</w:t>
      </w:r>
    </w:p>
    <w:p>
      <w:pPr>
        <w:jc w:val="center"/>
        <w:spacing w:after="40"/>
      </w:pPr>
      <w:r>
        <w:rPr>
          <w:color w:val="6B7688"/>
          <w:sz w:val="20"/>
          <w:szCs w:val="20"/>
        </w:rPr>
        <w:t xml:space="preserve">archivos vectoriales SVG en la carpeta diseno/ (equivalente a Figma, editables y nítidos).</w:t>
      </w:r>
    </w:p>
    <w:p>
      <w:r>
        <w:br w:type="page"/>
      </w:r>
    </w:p>
    <w:p>
      <w:pPr>
        <w:pStyle w:val="Heading1"/>
        <w:spacing w:after="160"/>
      </w:pPr>
      <w:r>
        <w:rPr/>
        <w:t xml:space="preserve">1. Wireframes (boceto de layout)</w:t>
      </w:r>
    </w:p>
    <w:p>
      <w:pPr>
        <w:spacing w:after="120"/>
      </w:pPr>
      <w:r>
        <w:rPr/>
        <w:t xml:space="preserve">El dashboard se organiza en un grid de 12 columnas y cuatro bandas horizontales, siguiendo un patrón de lectura en Z (lo más importante arriba-izquierda):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Banda 1 — Encabezado: </w:t>
      </w:r>
      <w:r>
        <w:rPr/>
        <w:t xml:space="preserve">barra con logo, título y acciones (tema, exportar).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Banda 2 — Filtros: </w:t>
      </w:r>
      <w:r>
        <w:rPr/>
        <w:t xml:space="preserve">fila de segmentadores (Año, Categoría, Marca, Mes, búsqueda).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Banda 3 — KPIs: </w:t>
      </w:r>
      <w:r>
        <w:rPr/>
        <w:t xml:space="preserve">5 tarjetas con los KPIs primarios.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Banda 4 — Visuales: </w:t>
      </w:r>
      <w:r>
        <w:rPr/>
        <w:t xml:space="preserve">barras, dona/treemap y serie temporal de ancho completo.</w:t>
      </w:r>
    </w:p>
    <w:p>
      <w:pPr>
        <w:spacing w:after="120"/>
      </w:pPr>
      <w:r>
        <w:rPr>
          <w:i/>
          <w:color w:val="6B7688"/>
        </w:rPr>
        <w:t xml:space="preserve">El boceto completo está en diseno/02-wireframe-layout.svg.</w:t>
      </w:r>
    </w:p>
    <w:p>
      <w:pPr>
        <w:pStyle w:val="Heading1"/>
        <w:spacing w:after="160"/>
      </w:pPr>
      <w:r>
        <w:rPr/>
        <w:t xml:space="preserve">2. Paleta de colores</w:t>
      </w:r>
    </w:p>
    <w:p>
      <w:pPr>
        <w:spacing w:after="120"/>
      </w:pPr>
      <w:r>
        <w:rPr/>
        <w:t xml:space="preserve">Paleta profesional y consistente, alineada a la identidad UAO (rojo institucional).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00"/>
        <w:gridCol w:w="3200"/>
        <w:gridCol w:w="2800"/>
      </w:tblGrid>
      <w:tr>
        <w:tc>
          <w:tcPr>
            <w:tcW w:w="32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w="32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w="28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Hex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Marca principal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Rojo UAO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#E2001A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Acento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Azul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#2563EB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Texto principal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Gris oscuro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#1B2330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Texto secundario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Gris medio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#6B7688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Fondo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Gris muy claro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#F4F6FB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Estado bueno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Verde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#10B981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Estado alerta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Ámbar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#F59E0B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Estado crítico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Rojo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#E2001A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color w:val="6B7688"/>
        </w:rPr>
        <w:t xml:space="preserve">La paleta categórica (9 colores) para series de datos está en diseno/01-paleta-tipografia.svg y en los temas Power BI (powerbi/tema-uao.json y tema-uao-oscuro.json).</w:t>
      </w:r>
    </w:p>
    <w:p>
      <w:pPr>
        <w:pStyle w:val="Heading1"/>
        <w:spacing w:after="160"/>
      </w:pPr>
      <w:r>
        <w:rPr/>
        <w:t xml:space="preserve">3. Tipografía y jerarquía visual</w:t>
      </w:r>
    </w:p>
    <w:p>
      <w:pPr>
        <w:spacing w:after="120"/>
      </w:pPr>
      <w:r>
        <w:rPr/>
        <w:t xml:space="preserve">Familia única: Segoe UI (nativa en Windows/Power BI; alternativa: system-ui). Jerarquía: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00"/>
        <w:gridCol w:w="3200"/>
        <w:gridCol w:w="3600"/>
      </w:tblGrid>
      <w:tr>
        <w:tc>
          <w:tcPr>
            <w:tcW w:w="24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w="32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Tamaño / peso</w:t>
            </w:r>
          </w:p>
        </w:tc>
        <w:tc>
          <w:tcPr>
            <w:tcW w:w="36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H1 Título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30 px Bold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Nombre del dashboard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H2 Subtítulo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22 px Semibold (rojo)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Nombre de página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H3 Título de visual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16 px Semibold (azul)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Encabezado de cada gráfico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Valor KPI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30 px Bold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Cifra principal de las tarjetas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Cuerpo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13 px Regular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Texto general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Etiqueta / nota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11 px (secundario)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Encabezados de tabla y pies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/>
      </w:pPr>
      <w:r>
        <w:rPr/>
        <w:t xml:space="preserve">4. Tipo de gráfico elegido por KPI</w:t>
      </w:r>
    </w:p>
    <w:p>
      <w:pPr>
        <w:spacing w:after="120"/>
      </w:pPr>
      <w:r>
        <w:rPr/>
        <w:t xml:space="preserve">Cada uno de los 14 KPIs (Entregable 3) se asocia al visual que mejor comunica su naturaleza: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800"/>
        <w:gridCol w:w="2800"/>
        <w:gridCol w:w="3600"/>
      </w:tblGrid>
      <w:tr>
        <w:tc>
          <w:tcPr>
            <w:tcW w:w="28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  <w:szCs w:val="16"/>
              </w:rPr>
              <w:t xml:space="preserve">KPI</w:t>
            </w:r>
          </w:p>
        </w:tc>
        <w:tc>
          <w:tcPr>
            <w:tcW w:w="28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  <w:szCs w:val="16"/>
              </w:rPr>
              <w:t xml:space="preserve">Visual elegido</w:t>
            </w:r>
          </w:p>
        </w:tc>
        <w:tc>
          <w:tcPr>
            <w:tcW w:w="36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KPI-01 Total Unidades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Tarjeta (card)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Cifra única de alto impacto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KPI-02 Total Informes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Tarjeta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Cifra única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KPI-03 Unidades/Informe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Tarjeta con sparkline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Ratio + contexto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KPI-04 Unidades por Categoría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Barras horizontales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Comparar muchas categorías ordenadas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KPI-05 % Categoría Top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Tarjeta / KPI visual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Destacar concentración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KPI-06 Unidades por Marca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Treemap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Jerarquía por área = peso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KPI-07 Concentración Marca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Dona (anillo)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Participación sobre el total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KPI-08 Unidades Mensuales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Línea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Evolución en el tiempo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KPI-09 Variación Anual %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Tarjeta con flecha ▲/▼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Cambio direccional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KPI-10 Mes Pico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Marcador sobre la línea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Resaltar máximo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KPI-11 Unidades Mes Pico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Etiqueta de dato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Dimensión del pico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KPI-12 % Sin Serie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Barra de progreso / gauge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Avance vs. meta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KPI-13 % Sin Inventario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Barra de progreso / gauge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Avance vs. meta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KPI-14 Seriales Duplicados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Tabla + indicador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Listado accionable</w:t>
            </w:r>
          </w:p>
        </w:tc>
      </w:tr>
    </w:tbl>
    <w:p>
      <w:pPr>
        <w:spacing w:after="120"/>
      </w:pPr>
    </w:p>
    <w:p>
      <w:pPr>
        <w:pStyle w:val="Heading1"/>
        <w:spacing w:after="160"/>
      </w:pPr>
      <w:r>
        <w:rPr/>
        <w:t xml:space="preserve">5. Interactividad (filtros / slicers)</w:t>
      </w:r>
    </w:p>
    <w:p>
      <w:pPr>
        <w:spacing w:after="120"/>
      </w:pPr>
      <w:r>
        <w:rPr/>
        <w:t xml:space="preserve">El dashboard es interactivo mediante los siguientes controles, con resaltado cruzado entre visuales: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Año: </w:t>
      </w:r>
      <w:r>
        <w:rPr/>
        <w:t xml:space="preserve">segmentador 2025 / 2026 / ambos.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Categoría: </w:t>
      </w:r>
      <w:r>
        <w:rPr/>
        <w:t xml:space="preserve">segmentador de categoría de activo.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Marca: </w:t>
      </w:r>
      <w:r>
        <w:rPr/>
        <w:t xml:space="preserve">segmentador de marca/fabricante.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Mes / Documento: </w:t>
      </w:r>
      <w:r>
        <w:rPr/>
        <w:t xml:space="preserve">segmentador temporal de mes y de documento (DITI).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Búsqueda: </w:t>
      </w:r>
      <w:r>
        <w:rPr/>
        <w:t xml:space="preserve">cuadro de texto que filtra por descripción, serie o inventario.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Cross-filter: </w:t>
      </w:r>
      <w:r>
        <w:rPr/>
        <w:t xml:space="preserve">al hacer clic en una categoría/marca, el resto de visuales se filtra automáticamente.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Acciones: </w:t>
      </w:r>
      <w:r>
        <w:rPr/>
        <w:t xml:space="preserve">botón para alternar tema claro/oscuro y botón de exportar la vista a CSV.</w:t>
      </w:r>
    </w:p>
    <w:p>
      <w:r>
        <w:br w:type="page"/>
      </w:r>
    </w:p>
    <w:p>
      <w:pPr>
        <w:pStyle w:val="Heading1"/>
        <w:spacing w:after="160"/>
      </w:pPr>
      <w:r>
        <w:rPr/>
        <w:t xml:space="preserve">6. Ratios y dimensiones de cada visual</w:t>
      </w:r>
    </w:p>
    <w:p>
      <w:pPr>
        <w:spacing w:after="120"/>
      </w:pPr>
      <w:r>
        <w:rPr/>
        <w:t xml:space="preserve">Dimensiones de referencia sobre un lienzo de 1280×720 px (16:9, estándar de Power BI):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3200"/>
        <w:gridCol w:w="2600"/>
      </w:tblGrid>
      <w:tr>
        <w:tc>
          <w:tcPr>
            <w:tcW w:w="34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w="32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Ancho × Alto (px)</w:t>
            </w:r>
          </w:p>
        </w:tc>
        <w:tc>
          <w:tcPr>
            <w:tcW w:w="26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Proporción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Tarjeta KPI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230 × 90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~2.5:1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Barras por categoría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620 × 300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~2:1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Dona / anillo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300 × 300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1:1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Treemap de marcas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560 × 250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~2.2:1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Serie temporal (línea)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1240 × 260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~4.8:1 (ancho completo)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Barra de progreso / gauge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230 × 110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~2:1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Tabla de detalle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1240 × 300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ancho completo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color w:val="6B7688"/>
        </w:rPr>
        <w:t xml:space="preserve">Regla: márgenes de 16 px entre visuales y esquinas redondeadas de 12 px para consistencia.</w:t>
      </w:r>
    </w:p>
    <w:p>
      <w:pPr>
        <w:pStyle w:val="Heading1"/>
        <w:spacing w:after="160"/>
      </w:pPr>
      <w:r>
        <w:rPr/>
        <w:t xml:space="preserve">7. Mockups de alta fidelidad</w:t>
      </w:r>
    </w:p>
    <w:p>
      <w:pPr>
        <w:spacing w:after="120"/>
      </w:pPr>
      <w:r>
        <w:rPr/>
        <w:t xml:space="preserve">El mockup de alta fidelidad de la página “Resumen Ejecutivo”, con la paleta y tipografía aplicadas, se entrega en diseno/03-mockup-alta-fidelidad.svg. Adicionalmente, los mockups de las tres páginas del dashboard Power BI están en powerbi/mockups/ (Resumen Ejecutivo, Detalle por Activo y Calidad de Datos).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Mockup principal: </w:t>
      </w:r>
      <w:r>
        <w:rPr/>
        <w:t xml:space="preserve">diseno/03-mockup-alta-fidelidad.svg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Página 1: </w:t>
      </w:r>
      <w:r>
        <w:rPr/>
        <w:t xml:space="preserve">powerbi/mockups/pagina1-resumen-ejecutivo.svg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Página 2: </w:t>
      </w:r>
      <w:r>
        <w:rPr/>
        <w:t xml:space="preserve">powerbi/mockups/pagina2-detalle-por-activo.svg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Página 3: </w:t>
      </w:r>
      <w:r>
        <w:rPr/>
        <w:t xml:space="preserve">powerbi/mockups/pagina3-calidad-datos.svg</w:t>
      </w:r>
    </w:p>
    <w:p>
      <w:pPr>
        <w:pStyle w:val="Heading1"/>
        <w:spacing w:after="160"/>
      </w:pPr>
      <w:r>
        <w:rPr/>
        <w:t xml:space="preserve">8. Guía de estilo (para futuros dashboards)</w:t>
      </w:r>
    </w:p>
    <w:p>
      <w:pPr>
        <w:spacing w:after="120"/>
      </w:pPr>
      <w:r>
        <w:rPr/>
        <w:t xml:space="preserve">Lineamientos reutilizables para mantener consistencia en próximos tableros de la UAO: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Color: </w:t>
      </w:r>
      <w:r>
        <w:rPr/>
        <w:t xml:space="preserve">usar siempre la paleta institucional; el rojo (#E2001A) solo para marca y estados críticos, nunca para datos neutrales.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Tipografía: </w:t>
      </w:r>
      <w:r>
        <w:rPr/>
        <w:t xml:space="preserve">máximo 3 niveles de jerarquía tipográfica por pantalla; Segoe UI en todo el tablero.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Layout: </w:t>
      </w:r>
      <w:r>
        <w:rPr/>
        <w:t xml:space="preserve">KPIs primarios arriba (tarjetas); tendencia temporal al pie; detalle en páginas aparte.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Gráficos: </w:t>
      </w:r>
      <w:r>
        <w:rPr/>
        <w:t xml:space="preserve">1 visual = 1 idea; elegir el gráfico por la pregunta (comparar→barras, evolución→línea, parte-todo→dona/treemap, cifra→tarjeta).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Estados: </w:t>
      </w:r>
      <w:r>
        <w:rPr/>
        <w:t xml:space="preserve">semáforo verde/ámbar/rojo para KPIs con meta; flechas ▲/▼ para variaciones.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Texto: </w:t>
      </w:r>
      <w:r>
        <w:rPr/>
        <w:t xml:space="preserve">títulos claros en español, separador de miles, y nota de fuente al pie de cada página.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Interacción: </w:t>
      </w:r>
      <w:r>
        <w:rPr/>
        <w:t xml:space="preserve">filtros siempre visibles arriba; activar resaltado cruzado; no más de 6–7 visuales por página.</w:t>
      </w:r>
    </w:p>
    <w:p>
      <w:pPr>
        <w:spacing w:after="120"/>
      </w:pPr>
    </w:p>
    <w:p>
      <w:pPr>
        <w:jc w:val="center"/>
        <w:spacing w:after="0"/>
      </w:pPr>
      <w:r>
        <w:rPr>
          <w:i/>
          <w:color w:val="6B7688"/>
        </w:rPr>
        <w:t xml:space="preserve">Fin del Entregable 5.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s-CO"/>
      </w:rPr>
    </w:rPrDefault>
  </w:docDefaults>
  <w:style w:type="paragraph" w:default="1" w:styleId="Normal">
    <w:name w:val="Normal"/>
    <w:pPr>
      <w:spacing w:line="276" w:lineRule="auto"/>
    </w:p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color w:val="E2001A"/>
      <w:sz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color w:val="2563EB"/>
      <w:sz w:val="26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Entregable 5 - Diseno de Visualizaciones</dc:title>
  <dc:creator>Proyecto Seminario IA</dc:creator>
</cp:coreProperties>
</file>