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ompliance-automation-mvp"/>
    <w:p>
      <w:pPr>
        <w:pStyle w:val="Heading1"/>
      </w:pPr>
      <w:r>
        <w:t xml:space="preserve">Compliance Automation MVP</w:t>
      </w:r>
    </w:p>
    <w:bookmarkStart w:id="20" w:name="what-this-mvp-is"/>
    <w:p>
      <w:pPr>
        <w:pStyle w:val="Heading2"/>
      </w:pPr>
      <w:r>
        <w:t xml:space="preserve">What This MVP Is</w:t>
      </w:r>
    </w:p>
    <w:p>
      <w:pPr>
        <w:pStyle w:val="FirstParagraph"/>
      </w:pPr>
      <w:r>
        <w:t xml:space="preserve">This MVP is a</w:t>
      </w:r>
      <w:r>
        <w:t xml:space="preserve"> </w:t>
      </w:r>
      <w:r>
        <w:rPr>
          <w:b/>
          <w:bCs/>
        </w:rPr>
        <w:t xml:space="preserve">compliance intelligence system</w:t>
      </w:r>
      <w:r>
        <w:t xml:space="preserve"> </w:t>
      </w:r>
      <w:r>
        <w:t xml:space="preserve">designed to give Brownstone Property Group immediate, clear visibility into property-level compliance requirements and deadlines.</w:t>
      </w:r>
    </w:p>
    <w:p>
      <w:pPr>
        <w:pStyle w:val="BodyText"/>
      </w:pPr>
      <w:r>
        <w:t xml:space="preserve">It replaces spreadsheet-based tracking with a centralized system that:</w:t>
      </w:r>
      <w:r>
        <w:t xml:space="preserve"> </w:t>
      </w:r>
      <w:r>
        <w:t xml:space="preserve">- Pulls compliance data from trusted sources</w:t>
      </w:r>
      <w:r>
        <w:t xml:space="preserve"> </w:t>
      </w:r>
      <w:r>
        <w:t xml:space="preserve">- Maps requirements directly to properties</w:t>
      </w:r>
      <w:r>
        <w:t xml:space="preserve"> </w:t>
      </w:r>
      <w:r>
        <w:t xml:space="preserve">- Clearly shows what is compliant, what needs action, and by when</w:t>
      </w:r>
    </w:p>
    <w:p>
      <w:pPr>
        <w:pStyle w:val="BodyText"/>
      </w:pPr>
      <w:r>
        <w:t xml:space="preserve">The focus is</w:t>
      </w:r>
      <w:r>
        <w:t xml:space="preserve"> </w:t>
      </w:r>
      <w:r>
        <w:rPr>
          <w:b/>
          <w:bCs/>
        </w:rPr>
        <w:t xml:space="preserve">clarity, risk reduction, and operational efficiency</w:t>
      </w:r>
      <w:r>
        <w:t xml:space="preserve"> </w:t>
      </w:r>
      <w:r>
        <w:t xml:space="preserve">— not experimental AI.</w:t>
      </w:r>
    </w:p>
    <w:p>
      <w:r>
        <w:pict>
          <v:rect style="width:0;height:1.5pt" o:hralign="center" o:hrstd="t" o:hr="t"/>
        </w:pict>
      </w:r>
    </w:p>
    <w:bookmarkEnd w:id="20"/>
    <w:bookmarkStart w:id="21" w:name="the-problem-it-solves"/>
    <w:p>
      <w:pPr>
        <w:pStyle w:val="Heading2"/>
      </w:pPr>
      <w:r>
        <w:t xml:space="preserve">The Problem It Solves</w:t>
      </w:r>
    </w:p>
    <w:p>
      <w:pPr>
        <w:pStyle w:val="FirstParagraph"/>
      </w:pPr>
      <w:r>
        <w:t xml:space="preserve">Today, compliance is:</w:t>
      </w:r>
      <w:r>
        <w:t xml:space="preserve"> </w:t>
      </w:r>
      <w:r>
        <w:t xml:space="preserve">- Tracked manually across spreadsheets</w:t>
      </w:r>
      <w:r>
        <w:t xml:space="preserve"> </w:t>
      </w:r>
      <w:r>
        <w:t xml:space="preserve">- Dependent on individual knowledge</w:t>
      </w:r>
      <w:r>
        <w:t xml:space="preserve"> </w:t>
      </w:r>
      <w:r>
        <w:t xml:space="preserve">- Time-consuming to maintain</w:t>
      </w:r>
      <w:r>
        <w:t xml:space="preserve"> </w:t>
      </w:r>
      <w:r>
        <w:t xml:space="preserve">- Easy to miss deadlines</w:t>
      </w:r>
    </w:p>
    <w:p>
      <w:pPr>
        <w:pStyle w:val="BodyText"/>
      </w:pPr>
      <w:r>
        <w:t xml:space="preserve">This creates risk, operational drag, and scalability issues.</w:t>
      </w:r>
    </w:p>
    <w:p>
      <w:r>
        <w:pict>
          <v:rect style="width:0;height:1.5pt" o:hralign="center" o:hrstd="t" o:hr="t"/>
        </w:pict>
      </w:r>
    </w:p>
    <w:bookmarkEnd w:id="21"/>
    <w:bookmarkStart w:id="27" w:name="what-the-mvp-will-do"/>
    <w:p>
      <w:pPr>
        <w:pStyle w:val="Heading2"/>
      </w:pPr>
      <w:r>
        <w:t xml:space="preserve">What the MVP Will Do</w:t>
      </w:r>
    </w:p>
    <w:bookmarkStart w:id="22" w:name="pull-compliance-data-from-jaffa"/>
    <w:p>
      <w:pPr>
        <w:pStyle w:val="Heading3"/>
      </w:pPr>
      <w:r>
        <w:t xml:space="preserve">1. Pull Compliance Data from Jaffa</w:t>
      </w:r>
    </w:p>
    <w:p>
      <w:pPr>
        <w:pStyle w:val="Compact"/>
        <w:numPr>
          <w:ilvl w:val="0"/>
          <w:numId w:val="1001"/>
        </w:numPr>
      </w:pPr>
      <w:r>
        <w:t xml:space="preserve">Import compliance records from Jaffa &amp; Associates</w:t>
      </w:r>
    </w:p>
    <w:p>
      <w:pPr>
        <w:pStyle w:val="Compact"/>
        <w:numPr>
          <w:ilvl w:val="0"/>
          <w:numId w:val="1001"/>
        </w:numPr>
      </w:pPr>
      <w:r>
        <w:t xml:space="preserve">Normalize requirements across properties</w:t>
      </w:r>
    </w:p>
    <w:p>
      <w:pPr>
        <w:pStyle w:val="Compact"/>
        <w:numPr>
          <w:ilvl w:val="0"/>
          <w:numId w:val="1001"/>
        </w:numPr>
      </w:pPr>
      <w:r>
        <w:t xml:space="preserve">Maintain traceability to original records</w:t>
      </w:r>
    </w:p>
    <w:p>
      <w:pPr>
        <w:pStyle w:val="FirstParagraph"/>
      </w:pPr>
      <w:r>
        <w:rPr>
          <w:b/>
          <w:bCs/>
        </w:rPr>
        <w:t xml:space="preserve">Value:</w:t>
      </w:r>
      <w:r>
        <w:t xml:space="preserve"> </w:t>
      </w:r>
      <w:r>
        <w:t xml:space="preserve">Eliminates manual review and interpretation of compliance reports.</w:t>
      </w:r>
    </w:p>
    <w:p>
      <w:r>
        <w:pict>
          <v:rect style="width:0;height:1.5pt" o:hralign="center" o:hrstd="t" o:hr="t"/>
        </w:pict>
      </w:r>
    </w:p>
    <w:bookmarkEnd w:id="22"/>
    <w:bookmarkStart w:id="23" w:name="map-compliance-to-each-property"/>
    <w:p>
      <w:pPr>
        <w:pStyle w:val="Heading3"/>
      </w:pPr>
      <w:r>
        <w:t xml:space="preserve">2. Map Compliance to Each Property</w:t>
      </w:r>
    </w:p>
    <w:p>
      <w:pPr>
        <w:pStyle w:val="Compact"/>
        <w:numPr>
          <w:ilvl w:val="0"/>
          <w:numId w:val="1002"/>
        </w:numPr>
      </w:pPr>
      <w:r>
        <w:t xml:space="preserve">Associate compliance requirements with each property in a portfolio</w:t>
      </w:r>
    </w:p>
    <w:p>
      <w:pPr>
        <w:pStyle w:val="Compact"/>
        <w:numPr>
          <w:ilvl w:val="0"/>
          <w:numId w:val="1002"/>
        </w:numPr>
      </w:pPr>
      <w:r>
        <w:t xml:space="preserve">Automatically determine which rules apply</w:t>
      </w:r>
    </w:p>
    <w:p>
      <w:pPr>
        <w:pStyle w:val="FirstParagraph"/>
      </w:pPr>
      <w:r>
        <w:rPr>
          <w:b/>
          <w:bCs/>
        </w:rPr>
        <w:t xml:space="preserve">Value:</w:t>
      </w:r>
      <w:r>
        <w:t xml:space="preserve"> </w:t>
      </w:r>
      <w:r>
        <w:t xml:space="preserve">Immediate clarity on what each property is responsible for.</w:t>
      </w:r>
    </w:p>
    <w:p>
      <w:r>
        <w:pict>
          <v:rect style="width:0;height:1.5pt" o:hralign="center" o:hrstd="t" o:hr="t"/>
        </w:pict>
      </w:r>
    </w:p>
    <w:bookmarkEnd w:id="23"/>
    <w:bookmarkStart w:id="24" w:name="show-compliance-status-per-property"/>
    <w:p>
      <w:pPr>
        <w:pStyle w:val="Heading3"/>
      </w:pPr>
      <w:r>
        <w:t xml:space="preserve">3. Show Compliance Status Per Property</w:t>
      </w:r>
    </w:p>
    <w:p>
      <w:pPr>
        <w:pStyle w:val="FirstParagraph"/>
      </w:pPr>
      <w:r>
        <w:t xml:space="preserve">Each property displays a simple status:</w:t>
      </w:r>
      <w:r>
        <w:t xml:space="preserve"> </w:t>
      </w:r>
      <w:r>
        <w:t xml:space="preserve">- ✅ Compliant</w:t>
      </w:r>
      <w:r>
        <w:t xml:space="preserve"> </w:t>
      </w:r>
      <w:r>
        <w:t xml:space="preserve">- ⚠️ Action Required</w:t>
      </w:r>
      <w:r>
        <w:t xml:space="preserve"> </w:t>
      </w:r>
      <w:r>
        <w:t xml:space="preserve">- ❌ Overdue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Leadership and managers see risk instantly, without digging.</w:t>
      </w:r>
    </w:p>
    <w:p>
      <w:r>
        <w:pict>
          <v:rect style="width:0;height:1.5pt" o:hralign="center" o:hrstd="t" o:hr="t"/>
        </w:pict>
      </w:r>
    </w:p>
    <w:bookmarkEnd w:id="24"/>
    <w:bookmarkStart w:id="25" w:name="generate-action-items-with-deadlines"/>
    <w:p>
      <w:pPr>
        <w:pStyle w:val="Heading3"/>
      </w:pPr>
      <w:r>
        <w:t xml:space="preserve">4. Generate Action Items with Deadlines</w:t>
      </w:r>
    </w:p>
    <w:p>
      <w:pPr>
        <w:pStyle w:val="FirstParagraph"/>
      </w:pPr>
      <w:r>
        <w:t xml:space="preserve">For any required action, the system shows:</w:t>
      </w:r>
      <w:r>
        <w:t xml:space="preserve"> </w:t>
      </w:r>
      <w:r>
        <w:t xml:space="preserve">- What needs to be done</w:t>
      </w:r>
      <w:r>
        <w:t xml:space="preserve"> </w:t>
      </w:r>
      <w:r>
        <w:t xml:space="preserve">- The due date</w:t>
      </w:r>
      <w:r>
        <w:t xml:space="preserve"> </w:t>
      </w:r>
      <w:r>
        <w:t xml:space="preserve">- Countdown to deadline</w:t>
      </w:r>
    </w:p>
    <w:p>
      <w:pPr>
        <w:pStyle w:val="BodyText"/>
      </w:pPr>
      <w:r>
        <w:rPr>
          <w:b/>
          <w:bCs/>
        </w:rPr>
        <w:t xml:space="preserve">Value:</w:t>
      </w:r>
      <w:r>
        <w:t xml:space="preserve"> </w:t>
      </w:r>
      <w:r>
        <w:t xml:space="preserve">Compliance becomes executable, not interpretive.</w:t>
      </w:r>
    </w:p>
    <w:p>
      <w:r>
        <w:pict>
          <v:rect style="width:0;height:1.5pt" o:hralign="center" o:hrstd="t" o:hr="t"/>
        </w:pict>
      </w:r>
    </w:p>
    <w:bookmarkEnd w:id="25"/>
    <w:bookmarkStart w:id="26" w:name="portfolio-level-dashboard"/>
    <w:p>
      <w:pPr>
        <w:pStyle w:val="Heading3"/>
      </w:pPr>
      <w:r>
        <w:t xml:space="preserve">5. Portfolio-Level Dashboard</w:t>
      </w:r>
    </w:p>
    <w:p>
      <w:pPr>
        <w:pStyle w:val="Compact"/>
        <w:numPr>
          <w:ilvl w:val="0"/>
          <w:numId w:val="1003"/>
        </w:numPr>
      </w:pPr>
      <w:r>
        <w:t xml:space="preserve">Overall compliance health</w:t>
      </w:r>
    </w:p>
    <w:p>
      <w:pPr>
        <w:pStyle w:val="Compact"/>
        <w:numPr>
          <w:ilvl w:val="0"/>
          <w:numId w:val="1003"/>
        </w:numPr>
      </w:pPr>
      <w:r>
        <w:t xml:space="preserve">Properties at risk</w:t>
      </w:r>
    </w:p>
    <w:p>
      <w:pPr>
        <w:pStyle w:val="Compact"/>
        <w:numPr>
          <w:ilvl w:val="0"/>
          <w:numId w:val="1003"/>
        </w:numPr>
      </w:pPr>
      <w:r>
        <w:t xml:space="preserve">Upcoming deadlines</w:t>
      </w:r>
    </w:p>
    <w:p>
      <w:pPr>
        <w:pStyle w:val="FirstParagraph"/>
      </w:pPr>
      <w:r>
        <w:rPr>
          <w:b/>
          <w:bCs/>
        </w:rPr>
        <w:t xml:space="preserve">Value:</w:t>
      </w:r>
      <w:r>
        <w:t xml:space="preserve"> </w:t>
      </w:r>
      <w:r>
        <w:t xml:space="preserve">Centralized oversight without manual reporting.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what-this-mvp-does-not-do-intentionally"/>
    <w:p>
      <w:pPr>
        <w:pStyle w:val="Heading2"/>
      </w:pPr>
      <w:r>
        <w:t xml:space="preserve">What This MVP Does NOT Do (Intentionally)</w:t>
      </w:r>
    </w:p>
    <w:p>
      <w:pPr>
        <w:pStyle w:val="Compact"/>
        <w:numPr>
          <w:ilvl w:val="0"/>
          <w:numId w:val="1004"/>
        </w:numPr>
      </w:pPr>
      <w:r>
        <w:t xml:space="preserve">File documents with government agencies</w:t>
      </w:r>
    </w:p>
    <w:p>
      <w:pPr>
        <w:pStyle w:val="Compact"/>
        <w:numPr>
          <w:ilvl w:val="0"/>
          <w:numId w:val="1004"/>
        </w:numPr>
      </w:pPr>
      <w:r>
        <w:t xml:space="preserve">Handle payments or fees</w:t>
      </w:r>
    </w:p>
    <w:p>
      <w:pPr>
        <w:pStyle w:val="Compact"/>
        <w:numPr>
          <w:ilvl w:val="0"/>
          <w:numId w:val="1004"/>
        </w:numPr>
      </w:pPr>
      <w:r>
        <w:t xml:space="preserve">Replace Jaffa or AppFolio</w:t>
      </w:r>
    </w:p>
    <w:p>
      <w:pPr>
        <w:pStyle w:val="Compact"/>
        <w:numPr>
          <w:ilvl w:val="0"/>
          <w:numId w:val="1004"/>
        </w:numPr>
      </w:pPr>
      <w:r>
        <w:t xml:space="preserve">Predict future regulation changes</w:t>
      </w:r>
    </w:p>
    <w:p>
      <w:pPr>
        <w:pStyle w:val="FirstParagraph"/>
      </w:pPr>
      <w:r>
        <w:t xml:space="preserve">This keeps the MVP focused, fast, and valuable.</w:t>
      </w:r>
    </w:p>
    <w:p>
      <w:r>
        <w:pict>
          <v:rect style="width:0;height:1.5pt" o:hralign="center" o:hrstd="t" o:hr="t"/>
        </w:pict>
      </w:r>
    </w:p>
    <w:bookmarkEnd w:id="28"/>
    <w:bookmarkStart w:id="29" w:name="how-this-adds-value-immediately"/>
    <w:p>
      <w:pPr>
        <w:pStyle w:val="Heading2"/>
      </w:pPr>
      <w:r>
        <w:t xml:space="preserve">How This Adds Value Immediately</w:t>
      </w:r>
    </w:p>
    <w:p>
      <w:pPr>
        <w:pStyle w:val="Compact"/>
        <w:numPr>
          <w:ilvl w:val="0"/>
          <w:numId w:val="1005"/>
        </w:numPr>
      </w:pPr>
      <w:r>
        <w:t xml:space="preserve">Reduces compliance risk</w:t>
      </w:r>
    </w:p>
    <w:p>
      <w:pPr>
        <w:pStyle w:val="Compact"/>
        <w:numPr>
          <w:ilvl w:val="0"/>
          <w:numId w:val="1005"/>
        </w:numPr>
      </w:pPr>
      <w:r>
        <w:t xml:space="preserve">Saves time for property managers</w:t>
      </w:r>
    </w:p>
    <w:p>
      <w:pPr>
        <w:pStyle w:val="Compact"/>
        <w:numPr>
          <w:ilvl w:val="0"/>
          <w:numId w:val="1005"/>
        </w:numPr>
      </w:pPr>
      <w:r>
        <w:t xml:space="preserve">Eliminates spreadsheet coordination</w:t>
      </w:r>
    </w:p>
    <w:p>
      <w:pPr>
        <w:pStyle w:val="Compact"/>
        <w:numPr>
          <w:ilvl w:val="0"/>
          <w:numId w:val="1005"/>
        </w:numPr>
      </w:pPr>
      <w:r>
        <w:t xml:space="preserve">Creates accountability</w:t>
      </w:r>
    </w:p>
    <w:p>
      <w:pPr>
        <w:pStyle w:val="Compact"/>
        <w:numPr>
          <w:ilvl w:val="0"/>
          <w:numId w:val="1005"/>
        </w:numPr>
      </w:pPr>
      <w:r>
        <w:t xml:space="preserve">Scales as the portfolio grows</w:t>
      </w:r>
    </w:p>
    <w:p>
      <w:r>
        <w:pict>
          <v:rect style="width:0;height:1.5pt" o:hralign="center" o:hrstd="t" o:hr="t"/>
        </w:pict>
      </w:r>
    </w:p>
    <w:bookmarkEnd w:id="29"/>
    <w:bookmarkStart w:id="30" w:name="outcome"/>
    <w:p>
      <w:pPr>
        <w:pStyle w:val="Heading2"/>
      </w:pPr>
      <w:r>
        <w:t xml:space="preserve">Outcome</w:t>
      </w:r>
    </w:p>
    <w:p>
      <w:pPr>
        <w:pStyle w:val="FirstParagraph"/>
      </w:pPr>
      <w:r>
        <w:t xml:space="preserve">Within weeks, Brownstone gains a</w:t>
      </w:r>
      <w:r>
        <w:t xml:space="preserve"> </w:t>
      </w:r>
      <w:r>
        <w:rPr>
          <w:b/>
          <w:bCs/>
        </w:rPr>
        <w:t xml:space="preserve">single source of truth for compliance</w:t>
      </w:r>
      <w:r>
        <w:t xml:space="preserve"> </w:t>
      </w:r>
      <w:r>
        <w:t xml:space="preserve">and a foundation for broader automation in future phases.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2026-01-10T22:26:13Z</dcterms:created>
  <dcterms:modified xsi:type="dcterms:W3CDTF">2026-01-10T22:26:13Z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