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partnership-proposal"/>
    <w:p>
      <w:pPr>
        <w:pStyle w:val="Heading1"/>
      </w:pPr>
      <w:r>
        <w:t xml:space="preserve">Partnership Proposal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proposal outlines a strategic partnership between</w:t>
      </w:r>
      <w:r>
        <w:t xml:space="preserve"> </w:t>
      </w:r>
      <w:r>
        <w:rPr>
          <w:b/>
          <w:bCs/>
        </w:rPr>
        <w:t xml:space="preserve">Omnia Solutions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Brownstone Property Group</w:t>
      </w:r>
      <w:r>
        <w:t xml:space="preserve"> </w:t>
      </w:r>
      <w:r>
        <w:t xml:space="preserve">to co-develop a compliance automation platform.</w:t>
      </w:r>
    </w:p>
    <w:p>
      <w:pPr>
        <w:pStyle w:val="BodyText"/>
      </w:pPr>
      <w:r>
        <w:t xml:space="preserve">The initial MVP will be built for internal use, with the option to evolve into a commercial product.</w:t>
      </w:r>
    </w:p>
    <w:p>
      <w:r>
        <w:pict>
          <v:rect style="width:0;height:1.5pt" o:hralign="center" o:hrstd="t" o:hr="t"/>
        </w:pict>
      </w:r>
    </w:p>
    <w:bookmarkEnd w:id="20"/>
    <w:bookmarkStart w:id="22" w:name="partnership-structure"/>
    <w:p>
      <w:pPr>
        <w:pStyle w:val="Heading2"/>
      </w:pPr>
      <w:r>
        <w:t xml:space="preserve">Partnership Structure</w:t>
      </w:r>
    </w:p>
    <w:bookmarkStart w:id="21" w:name="parties"/>
    <w:p>
      <w:pPr>
        <w:pStyle w:val="Heading3"/>
      </w:pPr>
      <w:r>
        <w:t xml:space="preserve">Parties</w:t>
      </w:r>
    </w:p>
    <w:p>
      <w:pPr>
        <w:pStyle w:val="Compact"/>
        <w:numPr>
          <w:ilvl w:val="0"/>
          <w:numId w:val="1001"/>
        </w:numPr>
      </w:pPr>
      <w:r>
        <w:t xml:space="preserve">Omnia Solutions: Product development, engineering, architecture</w:t>
      </w:r>
    </w:p>
    <w:p>
      <w:pPr>
        <w:pStyle w:val="Compact"/>
        <w:numPr>
          <w:ilvl w:val="0"/>
          <w:numId w:val="1001"/>
        </w:numPr>
      </w:pPr>
      <w:r>
        <w:t xml:space="preserve">Brownstone Property Group: Domain expertise, real-world validation, pilot environment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equity-ownership-proposed"/>
    <w:p>
      <w:pPr>
        <w:pStyle w:val="Heading2"/>
      </w:pPr>
      <w:r>
        <w:t xml:space="preserve">Equity &amp; Ownership (Proposed)</w:t>
      </w:r>
    </w:p>
    <w:p>
      <w:pPr>
        <w:pStyle w:val="Compact"/>
        <w:numPr>
          <w:ilvl w:val="0"/>
          <w:numId w:val="1002"/>
        </w:numPr>
      </w:pPr>
      <w:r>
        <w:t xml:space="preserve">Equity split to be negotiated based on:</w:t>
      </w:r>
    </w:p>
    <w:p>
      <w:pPr>
        <w:pStyle w:val="Compact"/>
        <w:numPr>
          <w:ilvl w:val="1"/>
          <w:numId w:val="1003"/>
        </w:numPr>
      </w:pPr>
      <w:r>
        <w:t xml:space="preserve">Development contribution</w:t>
      </w:r>
    </w:p>
    <w:p>
      <w:pPr>
        <w:pStyle w:val="Compact"/>
        <w:numPr>
          <w:ilvl w:val="1"/>
          <w:numId w:val="1003"/>
        </w:numPr>
      </w:pPr>
      <w:r>
        <w:t xml:space="preserve">Domain expertise</w:t>
      </w:r>
    </w:p>
    <w:p>
      <w:pPr>
        <w:pStyle w:val="Compact"/>
        <w:numPr>
          <w:ilvl w:val="1"/>
          <w:numId w:val="1003"/>
        </w:numPr>
      </w:pPr>
      <w:r>
        <w:t xml:space="preserve">Ongoing involvement</w:t>
      </w:r>
    </w:p>
    <w:p>
      <w:pPr>
        <w:pStyle w:val="FirstParagraph"/>
      </w:pPr>
      <w:r>
        <w:t xml:space="preserve">Example structure (illustrative):</w:t>
      </w:r>
      <w:r>
        <w:t xml:space="preserve"> </w:t>
      </w:r>
      <w:r>
        <w:t xml:space="preserve">- Omnia Solutions: 60–70%</w:t>
      </w:r>
      <w:r>
        <w:t xml:space="preserve"> </w:t>
      </w:r>
      <w:r>
        <w:t xml:space="preserve">- Brownstone Property Group: 30–40%</w:t>
      </w:r>
    </w:p>
    <w:p>
      <w:pPr>
        <w:pStyle w:val="BodyText"/>
      </w:pPr>
      <w:r>
        <w:t xml:space="preserve">Final terms to be documented in operating agreement.</w:t>
      </w:r>
    </w:p>
    <w:p>
      <w:r>
        <w:pict>
          <v:rect style="width:0;height:1.5pt" o:hralign="center" o:hrstd="t" o:hr="t"/>
        </w:pict>
      </w:r>
    </w:p>
    <w:bookmarkEnd w:id="23"/>
    <w:bookmarkStart w:id="26" w:name="contributions"/>
    <w:p>
      <w:pPr>
        <w:pStyle w:val="Heading2"/>
      </w:pPr>
      <w:r>
        <w:t xml:space="preserve">Contributions</w:t>
      </w:r>
    </w:p>
    <w:bookmarkStart w:id="24" w:name="omnia-solutions"/>
    <w:p>
      <w:pPr>
        <w:pStyle w:val="Heading3"/>
      </w:pPr>
      <w:r>
        <w:t xml:space="preserve">Omnia Solutions</w:t>
      </w:r>
    </w:p>
    <w:p>
      <w:pPr>
        <w:pStyle w:val="Compact"/>
        <w:numPr>
          <w:ilvl w:val="0"/>
          <w:numId w:val="1004"/>
        </w:numPr>
      </w:pPr>
      <w:r>
        <w:t xml:space="preserve">Product design</w:t>
      </w:r>
    </w:p>
    <w:p>
      <w:pPr>
        <w:pStyle w:val="Compact"/>
        <w:numPr>
          <w:ilvl w:val="0"/>
          <w:numId w:val="1004"/>
        </w:numPr>
      </w:pPr>
      <w:r>
        <w:t xml:space="preserve">Engineering &amp; implementation</w:t>
      </w:r>
    </w:p>
    <w:p>
      <w:pPr>
        <w:pStyle w:val="Compact"/>
        <w:numPr>
          <w:ilvl w:val="0"/>
          <w:numId w:val="1004"/>
        </w:numPr>
      </w:pPr>
      <w:r>
        <w:t xml:space="preserve">Ongoing maintenance (optional)</w:t>
      </w:r>
    </w:p>
    <w:bookmarkEnd w:id="24"/>
    <w:bookmarkStart w:id="25" w:name="brownstone-property-group"/>
    <w:p>
      <w:pPr>
        <w:pStyle w:val="Heading3"/>
      </w:pPr>
      <w:r>
        <w:t xml:space="preserve">Brownstone Property Group</w:t>
      </w:r>
    </w:p>
    <w:p>
      <w:pPr>
        <w:pStyle w:val="Compact"/>
        <w:numPr>
          <w:ilvl w:val="0"/>
          <w:numId w:val="1005"/>
        </w:numPr>
      </w:pPr>
      <w:r>
        <w:t xml:space="preserve">Compliance expertise</w:t>
      </w:r>
    </w:p>
    <w:p>
      <w:pPr>
        <w:pStyle w:val="Compact"/>
        <w:numPr>
          <w:ilvl w:val="0"/>
          <w:numId w:val="1005"/>
        </w:numPr>
      </w:pPr>
      <w:r>
        <w:t xml:space="preserve">Access to real data &amp; workflows</w:t>
      </w:r>
    </w:p>
    <w:p>
      <w:pPr>
        <w:pStyle w:val="Compact"/>
        <w:numPr>
          <w:ilvl w:val="0"/>
          <w:numId w:val="1005"/>
        </w:numPr>
      </w:pPr>
      <w:r>
        <w:t xml:space="preserve">Pilot usage &amp; feedback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ommercialization-path"/>
    <w:p>
      <w:pPr>
        <w:pStyle w:val="Heading2"/>
      </w:pPr>
      <w:r>
        <w:t xml:space="preserve">Commercialization Path</w:t>
      </w:r>
    </w:p>
    <w:p>
      <w:pPr>
        <w:pStyle w:val="Compact"/>
        <w:numPr>
          <w:ilvl w:val="0"/>
          <w:numId w:val="1006"/>
        </w:numPr>
      </w:pPr>
      <w:r>
        <w:t xml:space="preserve">Phase 1: Internal MVP</w:t>
      </w:r>
    </w:p>
    <w:p>
      <w:pPr>
        <w:pStyle w:val="Compact"/>
        <w:numPr>
          <w:ilvl w:val="0"/>
          <w:numId w:val="1006"/>
        </w:numPr>
      </w:pPr>
      <w:r>
        <w:t xml:space="preserve">Phase 2: Expanded feature set</w:t>
      </w:r>
    </w:p>
    <w:p>
      <w:pPr>
        <w:pStyle w:val="Compact"/>
        <w:numPr>
          <w:ilvl w:val="0"/>
          <w:numId w:val="1006"/>
        </w:numPr>
      </w:pPr>
      <w:r>
        <w:t xml:space="preserve">Phase 3: External offering to other firms</w:t>
      </w:r>
    </w:p>
    <w:p>
      <w:pPr>
        <w:pStyle w:val="FirstParagraph"/>
      </w:pPr>
      <w:r>
        <w:t xml:space="preserve">Revenue options:</w:t>
      </w:r>
      <w:r>
        <w:t xml:space="preserve"> </w:t>
      </w:r>
      <w:r>
        <w:t xml:space="preserve">- SaaS subscriptions</w:t>
      </w:r>
      <w:r>
        <w:t xml:space="preserve"> </w:t>
      </w:r>
      <w:r>
        <w:t xml:space="preserve">- Enterprise licensing</w:t>
      </w:r>
      <w:r>
        <w:t xml:space="preserve"> </w:t>
      </w:r>
      <w:r>
        <w:t xml:space="preserve">- Per-property pricing</w:t>
      </w:r>
    </w:p>
    <w:p>
      <w:r>
        <w:pict>
          <v:rect style="width:0;height:1.5pt" o:hralign="center" o:hrstd="t" o:hr="t"/>
        </w:pict>
      </w:r>
    </w:p>
    <w:bookmarkEnd w:id="27"/>
    <w:bookmarkStart w:id="28" w:name="governance"/>
    <w:p>
      <w:pPr>
        <w:pStyle w:val="Heading2"/>
      </w:pPr>
      <w:r>
        <w:t xml:space="preserve">Governance</w:t>
      </w:r>
    </w:p>
    <w:p>
      <w:pPr>
        <w:pStyle w:val="Compact"/>
        <w:numPr>
          <w:ilvl w:val="0"/>
          <w:numId w:val="1007"/>
        </w:numPr>
      </w:pPr>
      <w:r>
        <w:t xml:space="preserve">Joint roadmap planning</w:t>
      </w:r>
    </w:p>
    <w:p>
      <w:pPr>
        <w:pStyle w:val="Compact"/>
        <w:numPr>
          <w:ilvl w:val="0"/>
          <w:numId w:val="1007"/>
        </w:numPr>
      </w:pPr>
      <w:r>
        <w:t xml:space="preserve">Feature prioritization input</w:t>
      </w:r>
    </w:p>
    <w:p>
      <w:pPr>
        <w:pStyle w:val="Compact"/>
        <w:numPr>
          <w:ilvl w:val="0"/>
          <w:numId w:val="1007"/>
        </w:numPr>
      </w:pPr>
      <w:r>
        <w:t xml:space="preserve">Clear IP ownership structure</w:t>
      </w:r>
    </w:p>
    <w:p>
      <w:r>
        <w:pict>
          <v:rect style="width:0;height:1.5pt" o:hralign="center" o:hrstd="t" o:hr="t"/>
        </w:pict>
      </w:r>
    </w:p>
    <w:bookmarkEnd w:id="28"/>
    <w:bookmarkStart w:id="29" w:name="exit-optionality"/>
    <w:p>
      <w:pPr>
        <w:pStyle w:val="Heading2"/>
      </w:pPr>
      <w:r>
        <w:t xml:space="preserve">Exit &amp; Optionality</w:t>
      </w:r>
    </w:p>
    <w:p>
      <w:pPr>
        <w:pStyle w:val="Compact"/>
        <w:numPr>
          <w:ilvl w:val="0"/>
          <w:numId w:val="1008"/>
        </w:numPr>
      </w:pPr>
      <w:r>
        <w:t xml:space="preserve">Buyout options</w:t>
      </w:r>
    </w:p>
    <w:p>
      <w:pPr>
        <w:pStyle w:val="Compact"/>
        <w:numPr>
          <w:ilvl w:val="0"/>
          <w:numId w:val="1008"/>
        </w:numPr>
      </w:pPr>
      <w:r>
        <w:t xml:space="preserve">Spin-off entity</w:t>
      </w:r>
    </w:p>
    <w:p>
      <w:pPr>
        <w:pStyle w:val="Compact"/>
        <w:numPr>
          <w:ilvl w:val="0"/>
          <w:numId w:val="1008"/>
        </w:numPr>
      </w:pPr>
      <w:r>
        <w:t xml:space="preserve">Preferred pricing or perpetual license for Brownstone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t xml:space="preserve">Align on equity framework</w:t>
      </w:r>
    </w:p>
    <w:p>
      <w:pPr>
        <w:pStyle w:val="Compact"/>
        <w:numPr>
          <w:ilvl w:val="0"/>
          <w:numId w:val="1009"/>
        </w:numPr>
      </w:pPr>
      <w:r>
        <w:t xml:space="preserve">Finalize MVP scope</w:t>
      </w:r>
    </w:p>
    <w:p>
      <w:pPr>
        <w:pStyle w:val="Compact"/>
        <w:numPr>
          <w:ilvl w:val="0"/>
          <w:numId w:val="1009"/>
        </w:numPr>
      </w:pPr>
      <w:r>
        <w:t xml:space="preserve">Draft formal partnership agreement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partnership combines</w:t>
      </w:r>
      <w:r>
        <w:t xml:space="preserve"> </w:t>
      </w:r>
      <w:r>
        <w:rPr>
          <w:b/>
          <w:bCs/>
        </w:rPr>
        <w:t xml:space="preserve">technical execution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domain expertise</w:t>
      </w:r>
      <w:r>
        <w:t xml:space="preserve"> </w:t>
      </w:r>
      <w:r>
        <w:t xml:space="preserve">to create a scalable compliance automation platform with long-term value.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2026-01-10T22:26:25Z</dcterms:created>
  <dcterms:modified xsi:type="dcterms:W3CDTF">2026-01-10T22:26:25Z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