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92C738" w14:textId="45F17C38" w:rsidR="00763E6F" w:rsidRPr="00763E6F" w:rsidRDefault="00763E6F" w:rsidP="00763E6F">
      <w:pPr>
        <w:jc w:val="center"/>
        <w:rPr>
          <w:b/>
          <w:bCs/>
          <w:lang w:val="es-ES"/>
        </w:rPr>
      </w:pPr>
      <w:r w:rsidRPr="00763E6F">
        <w:rPr>
          <w:b/>
          <w:bCs/>
          <w:lang w:val="es-ES"/>
        </w:rPr>
        <w:t xml:space="preserve">Estudio del </w:t>
      </w:r>
      <w:proofErr w:type="spellStart"/>
      <w:r w:rsidRPr="00763E6F">
        <w:rPr>
          <w:b/>
          <w:bCs/>
          <w:lang w:val="es-ES"/>
        </w:rPr>
        <w:t>dataset</w:t>
      </w:r>
      <w:proofErr w:type="spellEnd"/>
    </w:p>
    <w:p w14:paraId="6434F104" w14:textId="5DDDAF16" w:rsidR="00E376F7" w:rsidRPr="004B1BF9" w:rsidRDefault="00763E6F" w:rsidP="00763E6F">
      <w:pPr>
        <w:jc w:val="center"/>
        <w:rPr>
          <w:lang w:val="en-US"/>
        </w:rPr>
      </w:pPr>
      <w:r w:rsidRPr="004B1BF9">
        <w:rPr>
          <w:b/>
          <w:bCs/>
          <w:lang w:val="en-US"/>
        </w:rPr>
        <w:t>WDBC (Wisconsin Diagnostic Breast Cancer Dataset)</w:t>
      </w:r>
    </w:p>
    <w:p w14:paraId="7F94D816" w14:textId="5C37581E" w:rsidR="00763E6F" w:rsidRPr="004B1BF9" w:rsidRDefault="00763E6F">
      <w:pPr>
        <w:rPr>
          <w:lang w:val="en-US"/>
        </w:rPr>
      </w:pPr>
    </w:p>
    <w:p w14:paraId="523C66B1" w14:textId="1961AA55" w:rsidR="00763E6F" w:rsidRDefault="00763E6F">
      <w:pPr>
        <w:rPr>
          <w:lang w:val="es-ES"/>
        </w:rPr>
      </w:pPr>
      <w:r>
        <w:rPr>
          <w:lang w:val="es-ES"/>
        </w:rPr>
        <w:t xml:space="preserve">Este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, mide 30 </w:t>
      </w:r>
      <w:r w:rsidR="005620BD">
        <w:rPr>
          <w:lang w:val="es-ES"/>
        </w:rPr>
        <w:t>características</w:t>
      </w:r>
      <w:r>
        <w:rPr>
          <w:lang w:val="es-ES"/>
        </w:rPr>
        <w:t xml:space="preserve"> morfológicas del núcleo celular </w:t>
      </w:r>
      <w:r w:rsidR="005620BD">
        <w:rPr>
          <w:lang w:val="es-ES"/>
        </w:rPr>
        <w:t>extraídas</w:t>
      </w:r>
      <w:r>
        <w:rPr>
          <w:lang w:val="es-ES"/>
        </w:rPr>
        <w:t xml:space="preserve"> de imágenes microscópicas.</w:t>
      </w:r>
    </w:p>
    <w:p w14:paraId="385DDFD0" w14:textId="75C42942" w:rsidR="00763E6F" w:rsidRDefault="00763E6F" w:rsidP="004B1BF9">
      <w:pPr>
        <w:jc w:val="both"/>
        <w:rPr>
          <w:lang w:val="es-ES"/>
        </w:rPr>
      </w:pPr>
      <w:r>
        <w:rPr>
          <w:lang w:val="es-ES"/>
        </w:rPr>
        <w:t xml:space="preserve">Cada fila del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 corresponde a una muestra de tejido mamario, y cada característica describe la forma y textura de los </w:t>
      </w:r>
      <w:r w:rsidR="005620BD">
        <w:rPr>
          <w:lang w:val="es-ES"/>
        </w:rPr>
        <w:t>núcleos</w:t>
      </w:r>
      <w:r>
        <w:rPr>
          <w:lang w:val="es-ES"/>
        </w:rPr>
        <w:t xml:space="preserve"> en esa imagen</w:t>
      </w:r>
      <w:r w:rsidR="004B1BF9">
        <w:rPr>
          <w:lang w:val="es-ES"/>
        </w:rPr>
        <w:t>.</w:t>
      </w:r>
    </w:p>
    <w:p w14:paraId="016FC06B" w14:textId="2548B47C" w:rsidR="004B1BF9" w:rsidRDefault="004B1BF9">
      <w:pPr>
        <w:rPr>
          <w:lang w:val="es-ES"/>
        </w:rPr>
      </w:pPr>
      <w:r>
        <w:rPr>
          <w:lang w:val="es-ES"/>
        </w:rPr>
        <w:t>El conjunto de datos se encuentra dividido en dos clases:</w:t>
      </w:r>
    </w:p>
    <w:p w14:paraId="7140B36A" w14:textId="055F0CFB" w:rsidR="004B1BF9" w:rsidRDefault="004B1BF9" w:rsidP="004B1BF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Benigna, corresponde a tejidos con morfología celular normal, y</w:t>
      </w:r>
    </w:p>
    <w:p w14:paraId="2A81A997" w14:textId="0CA3DE5A" w:rsidR="004B1BF9" w:rsidRPr="004B1BF9" w:rsidRDefault="004B1BF9" w:rsidP="004B1BF9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Maligna, corresponde a tejidos con presencia de células cancerígenas que presentan núcleos agrandados e irregulares  </w:t>
      </w:r>
    </w:p>
    <w:p w14:paraId="04FA3F95" w14:textId="776970BC" w:rsidR="00763E6F" w:rsidRDefault="00763E6F">
      <w:pPr>
        <w:rPr>
          <w:lang w:val="es-ES"/>
        </w:rPr>
      </w:pPr>
      <w:r w:rsidRPr="00763E6F">
        <w:rPr>
          <w:noProof/>
          <w:lang w:val="en-US"/>
        </w:rPr>
        <w:drawing>
          <wp:inline distT="0" distB="0" distL="0" distR="0" wp14:anchorId="354C41FE" wp14:editId="7169803C">
            <wp:extent cx="5399902" cy="3497283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805" b="1569"/>
                    <a:stretch/>
                  </pic:blipFill>
                  <pic:spPr bwMode="auto">
                    <a:xfrm>
                      <a:off x="0" y="0"/>
                      <a:ext cx="5400040" cy="34973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6CEB7" w14:textId="77777777" w:rsidR="00763E6F" w:rsidRDefault="00763E6F">
      <w:pPr>
        <w:rPr>
          <w:lang w:val="es-ES"/>
        </w:rPr>
      </w:pPr>
    </w:p>
    <w:p w14:paraId="3256803E" w14:textId="5B36B8BC" w:rsidR="007F0873" w:rsidRDefault="007F0873" w:rsidP="00C75D6D">
      <w:pPr>
        <w:jc w:val="both"/>
      </w:pPr>
      <w:r>
        <w:rPr>
          <w:lang w:val="es-ES"/>
        </w:rPr>
        <w:t xml:space="preserve">Según la página de la UCI que publica el </w:t>
      </w:r>
      <w:proofErr w:type="spellStart"/>
      <w:r>
        <w:rPr>
          <w:lang w:val="es-ES"/>
        </w:rPr>
        <w:t>dataset</w:t>
      </w:r>
      <w:proofErr w:type="spellEnd"/>
      <w:r>
        <w:rPr>
          <w:lang w:val="es-ES"/>
        </w:rPr>
        <w:t xml:space="preserve"> </w:t>
      </w:r>
      <w:hyperlink r:id="rId6" w:history="1">
        <w:r w:rsidRPr="00683DA7">
          <w:rPr>
            <w:rStyle w:val="Hipervnculo"/>
            <w:lang w:val="es-ES"/>
          </w:rPr>
          <w:t>https://archive.ics.uci.edu/dataset/17/breast+cancer+wisconsin+diagnostic</w:t>
        </w:r>
      </w:hyperlink>
      <w:r>
        <w:rPr>
          <w:lang w:val="es-ES"/>
        </w:rPr>
        <w:t xml:space="preserve">,  se calcularon diez características reales para cada núcleo celular –radio, textura, perímetro, área, suavidad, compacidad, concavidad, puntos cóncavos, simetría y dimensión fractal-. De cada una se obtuvo su media, error estándar y valor máximo (denominado </w:t>
      </w:r>
      <w:r w:rsidRPr="007F0873">
        <w:rPr>
          <w:i/>
          <w:lang w:val="es-ES"/>
        </w:rPr>
        <w:t>worst</w:t>
      </w:r>
      <w:r>
        <w:rPr>
          <w:lang w:val="es-ES"/>
        </w:rPr>
        <w:t>)</w:t>
      </w:r>
      <w:r>
        <w:t>, resultando en 30 variables en total.</w:t>
      </w:r>
    </w:p>
    <w:p w14:paraId="5D59FD9B" w14:textId="02D33350" w:rsidR="00C75D6D" w:rsidRDefault="00C75D6D" w:rsidP="00C75D6D">
      <w:pPr>
        <w:jc w:val="both"/>
      </w:pPr>
      <w:r>
        <w:t xml:space="preserve">Las características se calculan a partir de una imagen digitalizada de una muestra obtenida mediante aspiración con una aguja (AAF) de una masa mamaria. Describen las </w:t>
      </w:r>
      <w:r>
        <w:lastRenderedPageBreak/>
        <w:t>características de los núcleos celulares presentes en la imagen. Algunas de las imágenes se pueden consultar en</w:t>
      </w:r>
      <w:r w:rsidRPr="00C75D6D">
        <w:t xml:space="preserve"> </w:t>
      </w:r>
      <w:hyperlink r:id="rId7" w:history="1">
        <w:r w:rsidRPr="00683DA7">
          <w:rPr>
            <w:rStyle w:val="Hipervnculo"/>
          </w:rPr>
          <w:t>https://pages.cs.wisc.edu/~street/saves/xcyt1.gif</w:t>
        </w:r>
      </w:hyperlink>
      <w:r>
        <w:t xml:space="preserve"> </w:t>
      </w:r>
    </w:p>
    <w:p w14:paraId="702E5875" w14:textId="7B643E0E" w:rsidR="00C75D6D" w:rsidRDefault="00C75D6D">
      <w:pPr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20E71979" wp14:editId="442CB83C">
            <wp:extent cx="5400040" cy="3873147"/>
            <wp:effectExtent l="76200" t="76200" r="124460" b="127635"/>
            <wp:docPr id="4" name="Imagen 4" descr="https://pages.cs.wisc.edu/~street/saves/xcyt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ages.cs.wisc.edu/~street/saves/xcyt1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731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ADA68D" w14:textId="5DEEA75E" w:rsidR="00C75D6D" w:rsidRDefault="00C75D6D">
      <w:pPr>
        <w:rPr>
          <w:lang w:val="es-ES"/>
        </w:rPr>
      </w:pPr>
      <w:r>
        <w:rPr>
          <w:lang w:val="es-ES"/>
        </w:rPr>
        <w:t>Características centrales: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17"/>
        <w:gridCol w:w="1687"/>
        <w:gridCol w:w="3390"/>
      </w:tblGrid>
      <w:tr w:rsidR="005620BD" w:rsidRPr="00763E6F" w14:paraId="73C2C8AE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4FED24BD" w14:textId="77777777" w:rsidR="00763E6F" w:rsidRPr="00763E6F" w:rsidRDefault="00763E6F" w:rsidP="00C75D6D">
            <w:pPr>
              <w:spacing w:after="160" w:line="278" w:lineRule="auto"/>
              <w:jc w:val="center"/>
              <w:rPr>
                <w:b/>
                <w:bCs/>
              </w:rPr>
            </w:pPr>
            <w:r w:rsidRPr="00763E6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7A73602" w14:textId="77777777" w:rsidR="00763E6F" w:rsidRPr="00763E6F" w:rsidRDefault="00763E6F" w:rsidP="00C75D6D">
            <w:pPr>
              <w:spacing w:after="160" w:line="278" w:lineRule="auto"/>
              <w:jc w:val="center"/>
              <w:rPr>
                <w:b/>
                <w:bCs/>
              </w:rPr>
            </w:pPr>
            <w:r w:rsidRPr="00763E6F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44CFD247" w14:textId="77777777" w:rsidR="00763E6F" w:rsidRPr="00763E6F" w:rsidRDefault="00763E6F" w:rsidP="00C75D6D">
            <w:pPr>
              <w:spacing w:after="160" w:line="278" w:lineRule="auto"/>
              <w:jc w:val="center"/>
              <w:rPr>
                <w:b/>
                <w:bCs/>
              </w:rPr>
            </w:pPr>
            <w:r w:rsidRPr="00763E6F">
              <w:rPr>
                <w:b/>
                <w:bCs/>
              </w:rPr>
              <w:t>Interpretación clínica</w:t>
            </w:r>
          </w:p>
        </w:tc>
      </w:tr>
      <w:tr w:rsidR="005620BD" w:rsidRPr="00763E6F" w14:paraId="52B73F1F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1299A1B7" w14:textId="7F9CED00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radius_mean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DDAF8A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Radio promedio del núcleo</w:t>
            </w:r>
          </w:p>
        </w:tc>
        <w:tc>
          <w:tcPr>
            <w:tcW w:w="0" w:type="auto"/>
            <w:vAlign w:val="center"/>
            <w:hideMark/>
          </w:tcPr>
          <w:p w14:paraId="15A4149B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Promedio de la distancia desde el centro al borde del núcleo. Núcleos malignos tienden a ser más grandes.</w:t>
            </w:r>
          </w:p>
        </w:tc>
      </w:tr>
      <w:tr w:rsidR="005620BD" w:rsidRPr="00763E6F" w14:paraId="6E619279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5AFD66AC" w14:textId="18EB0FFC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texture_mean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8A93A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Textura promedio</w:t>
            </w:r>
          </w:p>
        </w:tc>
        <w:tc>
          <w:tcPr>
            <w:tcW w:w="0" w:type="auto"/>
            <w:vAlign w:val="center"/>
            <w:hideMark/>
          </w:tcPr>
          <w:p w14:paraId="5261009E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Desviación estándar de la intensidad del brillo de los píxeles. Mide irregularidades internas.</w:t>
            </w:r>
          </w:p>
        </w:tc>
      </w:tr>
      <w:tr w:rsidR="005620BD" w:rsidRPr="00763E6F" w14:paraId="1BBB73DA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303D2D6F" w14:textId="4B5EE26C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perimeter_mean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4D05E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Perímetro promedio</w:t>
            </w:r>
          </w:p>
        </w:tc>
        <w:tc>
          <w:tcPr>
            <w:tcW w:w="0" w:type="auto"/>
            <w:vAlign w:val="center"/>
            <w:hideMark/>
          </w:tcPr>
          <w:p w14:paraId="71BA8634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Longitud del contorno del núcleo. Aumenta cuando los bordes son irregulares.</w:t>
            </w:r>
          </w:p>
        </w:tc>
      </w:tr>
      <w:tr w:rsidR="005620BD" w:rsidRPr="00763E6F" w14:paraId="546C4B2A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01582886" w14:textId="33D155A7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area_mean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17443E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Área promedio</w:t>
            </w:r>
          </w:p>
        </w:tc>
        <w:tc>
          <w:tcPr>
            <w:tcW w:w="0" w:type="auto"/>
            <w:vAlign w:val="center"/>
            <w:hideMark/>
          </w:tcPr>
          <w:p w14:paraId="4DA1D4C4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Superficie del núcleo. Núcleos cancerígenos son más grandes.</w:t>
            </w:r>
          </w:p>
        </w:tc>
      </w:tr>
      <w:tr w:rsidR="005620BD" w:rsidRPr="00763E6F" w14:paraId="67E9FEC8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598C7840" w14:textId="1C2170AF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lastRenderedPageBreak/>
              <w:t>smoothness_mean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E21F6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Suavidad promedio</w:t>
            </w:r>
          </w:p>
        </w:tc>
        <w:tc>
          <w:tcPr>
            <w:tcW w:w="0" w:type="auto"/>
            <w:vAlign w:val="center"/>
            <w:hideMark/>
          </w:tcPr>
          <w:p w14:paraId="5699DE17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Variación local en la longitud del radio. Menor suavidad implica bordes más rugosos.</w:t>
            </w:r>
          </w:p>
        </w:tc>
      </w:tr>
      <w:tr w:rsidR="005620BD" w:rsidRPr="00763E6F" w14:paraId="7F927D81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16E0241D" w14:textId="28EB7EAB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compactness_mean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D61DC4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Compacidad promedio</w:t>
            </w:r>
          </w:p>
        </w:tc>
        <w:tc>
          <w:tcPr>
            <w:tcW w:w="0" w:type="auto"/>
            <w:vAlign w:val="center"/>
            <w:hideMark/>
          </w:tcPr>
          <w:p w14:paraId="4440A8A4" w14:textId="67E0A3FE" w:rsidR="00763E6F" w:rsidRPr="00763E6F" w:rsidRDefault="002F7076" w:rsidP="00C75D6D">
            <w:pPr>
              <w:spacing w:after="160" w:line="278" w:lineRule="auto"/>
              <w:jc w:val="center"/>
            </w:pP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perimeter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area-1.0</m:t>
                  </m:r>
                </m:den>
              </m:f>
            </m:oMath>
            <w:r w:rsidR="00763E6F" w:rsidRPr="00763E6F">
              <w:t>. Mide qué tan denso o irregular es el núcleo.</w:t>
            </w:r>
          </w:p>
        </w:tc>
      </w:tr>
      <w:tr w:rsidR="005620BD" w:rsidRPr="00763E6F" w14:paraId="476BE7B0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31E5CD94" w14:textId="286E7E25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concavity_mean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C693A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Concavidad promedio</w:t>
            </w:r>
          </w:p>
        </w:tc>
        <w:tc>
          <w:tcPr>
            <w:tcW w:w="0" w:type="auto"/>
            <w:vAlign w:val="center"/>
            <w:hideMark/>
          </w:tcPr>
          <w:p w14:paraId="6F2DB454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Grado en que el contorno se curva hacia adentro.</w:t>
            </w:r>
          </w:p>
        </w:tc>
      </w:tr>
      <w:tr w:rsidR="005620BD" w:rsidRPr="00763E6F" w14:paraId="4412A765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11A41771" w14:textId="621BF07B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concave_points_mean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40EFC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Puntos cóncavos promedio</w:t>
            </w:r>
          </w:p>
        </w:tc>
        <w:tc>
          <w:tcPr>
            <w:tcW w:w="0" w:type="auto"/>
            <w:vAlign w:val="center"/>
            <w:hideMark/>
          </w:tcPr>
          <w:p w14:paraId="055FB796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Número de porciones del borde con curvatura interna.</w:t>
            </w:r>
          </w:p>
        </w:tc>
      </w:tr>
      <w:tr w:rsidR="005620BD" w:rsidRPr="00763E6F" w14:paraId="055A5E7F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1AACA67C" w14:textId="06864FD4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symmetry_mean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7B9FE3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Simetría promedio</w:t>
            </w:r>
          </w:p>
        </w:tc>
        <w:tc>
          <w:tcPr>
            <w:tcW w:w="0" w:type="auto"/>
            <w:vAlign w:val="center"/>
            <w:hideMark/>
          </w:tcPr>
          <w:p w14:paraId="5DB1B42F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Diferencia entre lados opuestos del núcleo. Los malignos son menos simétricos.</w:t>
            </w:r>
          </w:p>
        </w:tc>
      </w:tr>
      <w:tr w:rsidR="005620BD" w:rsidRPr="00763E6F" w14:paraId="499525E1" w14:textId="77777777" w:rsidTr="00C75D6D">
        <w:trPr>
          <w:jc w:val="center"/>
        </w:trPr>
        <w:tc>
          <w:tcPr>
            <w:tcW w:w="0" w:type="auto"/>
            <w:vAlign w:val="center"/>
            <w:hideMark/>
          </w:tcPr>
          <w:p w14:paraId="76E7E56E" w14:textId="3BCF4472" w:rsidR="00763E6F" w:rsidRPr="00763E6F" w:rsidRDefault="00763E6F" w:rsidP="00C75D6D">
            <w:pPr>
              <w:pStyle w:val="Prrafodelista"/>
              <w:numPr>
                <w:ilvl w:val="0"/>
                <w:numId w:val="1"/>
              </w:numPr>
              <w:jc w:val="center"/>
            </w:pPr>
            <w:proofErr w:type="spellStart"/>
            <w:r w:rsidRPr="00763E6F">
              <w:rPr>
                <w:b/>
                <w:bCs/>
              </w:rPr>
              <w:t>fractal_dimension_mean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9AF1D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Dimensión fractal promedio</w:t>
            </w:r>
          </w:p>
        </w:tc>
        <w:tc>
          <w:tcPr>
            <w:tcW w:w="0" w:type="auto"/>
            <w:vAlign w:val="center"/>
            <w:hideMark/>
          </w:tcPr>
          <w:p w14:paraId="409FB2A4" w14:textId="77777777" w:rsidR="00763E6F" w:rsidRPr="00763E6F" w:rsidRDefault="00763E6F" w:rsidP="00C75D6D">
            <w:pPr>
              <w:spacing w:after="160" w:line="278" w:lineRule="auto"/>
              <w:jc w:val="center"/>
            </w:pPr>
            <w:r w:rsidRPr="00763E6F">
              <w:t>Describe la complejidad del borde (</w:t>
            </w:r>
            <w:proofErr w:type="spellStart"/>
            <w:r w:rsidRPr="00763E6F">
              <w:t>autosemejanza</w:t>
            </w:r>
            <w:proofErr w:type="spellEnd"/>
            <w:r w:rsidRPr="00763E6F">
              <w:t>). Bordes más complejos suelen indicar malignidad.</w:t>
            </w:r>
          </w:p>
        </w:tc>
      </w:tr>
    </w:tbl>
    <w:p w14:paraId="2A4F26B7" w14:textId="77777777" w:rsidR="00C75D6D" w:rsidRDefault="00C75D6D">
      <w:pPr>
        <w:rPr>
          <w:lang w:val="es-ES"/>
        </w:rPr>
      </w:pPr>
    </w:p>
    <w:p w14:paraId="0B645FA5" w14:textId="00BB3E3C" w:rsidR="00763E6F" w:rsidRPr="00C75D6D" w:rsidRDefault="00763E6F">
      <w:pPr>
        <w:rPr>
          <w:b/>
          <w:u w:val="single"/>
          <w:lang w:val="es-ES"/>
        </w:rPr>
      </w:pPr>
      <w:r w:rsidRPr="00C75D6D">
        <w:rPr>
          <w:b/>
          <w:u w:val="single"/>
          <w:lang w:val="es-ES"/>
        </w:rPr>
        <w:t xml:space="preserve">Estudio de diagramas </w:t>
      </w:r>
    </w:p>
    <w:p w14:paraId="0848A9BA" w14:textId="01D784D0" w:rsidR="00763E6F" w:rsidRDefault="00763E6F" w:rsidP="00C75D6D">
      <w:pPr>
        <w:jc w:val="center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413D446A" wp14:editId="7AA3CC44">
            <wp:extent cx="2717828" cy="2104846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5999" cy="211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E6F">
        <w:rPr>
          <w:noProof/>
          <w:lang w:val="en-US"/>
        </w:rPr>
        <w:drawing>
          <wp:inline distT="0" distB="0" distL="0" distR="0" wp14:anchorId="7796A9C6" wp14:editId="221AFF27">
            <wp:extent cx="2665562" cy="211859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2449" cy="213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186D5" w14:textId="6A85FF88" w:rsidR="00763E6F" w:rsidRDefault="00854082" w:rsidP="00341FAF">
      <w:pPr>
        <w:pStyle w:val="Prrafodelista"/>
        <w:numPr>
          <w:ilvl w:val="0"/>
          <w:numId w:val="3"/>
        </w:numPr>
        <w:jc w:val="both"/>
      </w:pPr>
      <w:proofErr w:type="spellStart"/>
      <w:r>
        <w:rPr>
          <w:b/>
        </w:rPr>
        <w:t>Area</w:t>
      </w:r>
      <w:proofErr w:type="spellEnd"/>
      <w:r>
        <w:rPr>
          <w:b/>
        </w:rPr>
        <w:t xml:space="preserve"> (</w:t>
      </w:r>
      <w:proofErr w:type="spellStart"/>
      <w:r w:rsidR="00341FAF" w:rsidRPr="00341FAF">
        <w:rPr>
          <w:b/>
        </w:rPr>
        <w:t>radius_mean</w:t>
      </w:r>
      <w:proofErr w:type="spellEnd"/>
      <w:r>
        <w:rPr>
          <w:b/>
        </w:rPr>
        <w:t>)</w:t>
      </w:r>
      <w:r w:rsidR="00341FAF">
        <w:t xml:space="preserve">: </w:t>
      </w:r>
      <w:r w:rsidR="00763E6F">
        <w:t>Es el radio promedio del núcleo celular, medido en pixeles.</w:t>
      </w:r>
    </w:p>
    <w:p w14:paraId="2B4CCF72" w14:textId="4B36283A" w:rsidR="00763E6F" w:rsidRDefault="00763E6F" w:rsidP="00763E6F">
      <w:pPr>
        <w:jc w:val="both"/>
      </w:pPr>
      <w:r>
        <w:t xml:space="preserve">Cada punto del </w:t>
      </w:r>
      <w:proofErr w:type="spellStart"/>
      <w:r>
        <w:t>dataset</w:t>
      </w:r>
      <w:proofErr w:type="spellEnd"/>
      <w:r>
        <w:t xml:space="preserve"> representa una muestra de tejido; el valor de </w:t>
      </w:r>
      <w:proofErr w:type="spellStart"/>
      <w:r>
        <w:t>radius_mean</w:t>
      </w:r>
      <w:proofErr w:type="spellEnd"/>
      <w:r>
        <w:t xml:space="preserve"> resume el tamaño típico de los </w:t>
      </w:r>
      <w:r w:rsidR="0026308E">
        <w:t>núcleos</w:t>
      </w:r>
      <w:r>
        <w:t xml:space="preserve"> en esa muestra.</w:t>
      </w:r>
    </w:p>
    <w:p w14:paraId="2DD8AA7D" w14:textId="36697E4A" w:rsidR="00341FAF" w:rsidRDefault="00341FAF" w:rsidP="00763E6F">
      <w:pPr>
        <w:jc w:val="both"/>
      </w:pPr>
      <w:r>
        <w:t xml:space="preserve">La forma típica del histograma de </w:t>
      </w:r>
      <w:proofErr w:type="spellStart"/>
      <w:r>
        <w:t>radius_mean</w:t>
      </w:r>
      <w:proofErr w:type="spellEnd"/>
      <w:r>
        <w:t xml:space="preserve"> es asimétrica a la derecha. El pico principal entre 10-15, corresponde a células pequeñas y </w:t>
      </w:r>
      <w:r w:rsidR="0026308E">
        <w:t>regulares</w:t>
      </w:r>
      <w:r>
        <w:t xml:space="preserve">, con radios </w:t>
      </w:r>
      <w:r w:rsidR="0026308E">
        <w:t>más</w:t>
      </w:r>
      <w:r>
        <w:t xml:space="preserve"> homogéneos y bordes </w:t>
      </w:r>
      <w:r w:rsidR="00854082">
        <w:t>suaves, suelen ser las benignas; s</w:t>
      </w:r>
      <w:r>
        <w:t xml:space="preserve">on la mayoría del </w:t>
      </w:r>
      <w:proofErr w:type="spellStart"/>
      <w:r>
        <w:t>dataset</w:t>
      </w:r>
      <w:proofErr w:type="spellEnd"/>
      <w:r>
        <w:t xml:space="preserve"> (cerca </w:t>
      </w:r>
      <w:r>
        <w:lastRenderedPageBreak/>
        <w:t xml:space="preserve">del 63%). Mientras que la cola larga (20-30), </w:t>
      </w:r>
      <w:r w:rsidR="0026308E">
        <w:t>corresponde</w:t>
      </w:r>
      <w:r>
        <w:t xml:space="preserve"> a </w:t>
      </w:r>
      <w:r w:rsidR="0026308E">
        <w:t>núcleos</w:t>
      </w:r>
      <w:r>
        <w:t xml:space="preserve"> agrandados e irregulares, típicos de tejidos malignos, estos son menos frecuentes porque el cáncer es minoritario en el </w:t>
      </w:r>
      <w:proofErr w:type="spellStart"/>
      <w:r>
        <w:t>dataset</w:t>
      </w:r>
      <w:proofErr w:type="spellEnd"/>
      <w:r>
        <w:t xml:space="preserve">. </w:t>
      </w:r>
    </w:p>
    <w:p w14:paraId="0520B62C" w14:textId="2BFA5251" w:rsidR="00341FAF" w:rsidRDefault="00341FAF" w:rsidP="00763E6F">
      <w:pPr>
        <w:jc w:val="both"/>
      </w:pPr>
      <w:r>
        <w:t xml:space="preserve">No necesariamente todos los valores grandes (20-30) son </w:t>
      </w:r>
      <w:proofErr w:type="spellStart"/>
      <w:r>
        <w:t>outliers</w:t>
      </w:r>
      <w:proofErr w:type="spellEnd"/>
      <w:r>
        <w:t xml:space="preserve">; podemos decir que aquellos valores extremos &gt;32 o menores a &lt;6 pueden ser errores de medición o casos rarísimos. </w:t>
      </w:r>
    </w:p>
    <w:p w14:paraId="3D34A7CC" w14:textId="081EA438" w:rsidR="00341FAF" w:rsidRDefault="00341FAF" w:rsidP="00763E6F">
      <w:pPr>
        <w:jc w:val="both"/>
      </w:pPr>
      <w:r>
        <w:t xml:space="preserve">En el cuerpo del </w:t>
      </w:r>
      <w:proofErr w:type="spellStart"/>
      <w:r>
        <w:t>boxplot</w:t>
      </w:r>
      <w:proofErr w:type="spellEnd"/>
      <w:r>
        <w:t xml:space="preserve"> (caja), representa el rango </w:t>
      </w:r>
      <w:proofErr w:type="spellStart"/>
      <w:r>
        <w:t>intercuartilico</w:t>
      </w:r>
      <w:proofErr w:type="spellEnd"/>
      <w:r>
        <w:t>: el 50% central de las muestras, entre el cuartil 1(Q1) y el cuartil 3 (Q3)</w:t>
      </w:r>
      <w:r w:rsidR="0026308E">
        <w:t xml:space="preserve">. La línea interna indica la mediana (aprox. 13), mientras que los bigotes suelen extenderse hasta 1.5 x IQR (rango </w:t>
      </w:r>
      <w:proofErr w:type="spellStart"/>
      <w:r w:rsidR="0026308E">
        <w:t>intercuartilico</w:t>
      </w:r>
      <w:proofErr w:type="spellEnd"/>
      <w:r w:rsidR="0026308E">
        <w:t xml:space="preserve">), o sea, aproximadamente entre 6 y 28 en este caso. Los puntos aislados serian </w:t>
      </w:r>
      <w:proofErr w:type="spellStart"/>
      <w:r w:rsidR="0026308E">
        <w:t>outliers</w:t>
      </w:r>
      <w:proofErr w:type="spellEnd"/>
      <w:r w:rsidR="0026308E">
        <w:t xml:space="preserve"> fuera de ese rango. </w:t>
      </w:r>
    </w:p>
    <w:p w14:paraId="1A8EA8D3" w14:textId="5542C23B" w:rsidR="00854082" w:rsidRPr="00854082" w:rsidRDefault="00854082" w:rsidP="00854082">
      <w:pPr>
        <w:pStyle w:val="Prrafodelista"/>
        <w:numPr>
          <w:ilvl w:val="0"/>
          <w:numId w:val="3"/>
        </w:numPr>
        <w:jc w:val="both"/>
        <w:rPr>
          <w:b/>
        </w:rPr>
      </w:pPr>
      <w:r w:rsidRPr="00854082">
        <w:rPr>
          <w:b/>
        </w:rPr>
        <w:t>Textura (</w:t>
      </w:r>
      <w:proofErr w:type="spellStart"/>
      <w:r w:rsidRPr="00854082">
        <w:rPr>
          <w:b/>
        </w:rPr>
        <w:t>texture_mean</w:t>
      </w:r>
      <w:proofErr w:type="spellEnd"/>
      <w:r w:rsidRPr="00854082">
        <w:rPr>
          <w:b/>
        </w:rPr>
        <w:t>)</w:t>
      </w:r>
    </w:p>
    <w:p w14:paraId="252793FB" w14:textId="31A8E451" w:rsidR="00854082" w:rsidRDefault="00854082" w:rsidP="00854082">
      <w:pPr>
        <w:jc w:val="both"/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06A3B140" wp14:editId="0E8E96E2">
            <wp:extent cx="2702257" cy="2236734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5393" cy="22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082">
        <w:rPr>
          <w:lang w:val="es-ES"/>
        </w:rPr>
        <w:drawing>
          <wp:inline distT="0" distB="0" distL="0" distR="0" wp14:anchorId="24AE64E3" wp14:editId="518692CF">
            <wp:extent cx="2587924" cy="2105884"/>
            <wp:effectExtent l="0" t="0" r="3175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361" cy="212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BE16" w14:textId="6C8DF3E9" w:rsidR="00854082" w:rsidRDefault="00854082" w:rsidP="00854082">
      <w:pPr>
        <w:jc w:val="both"/>
        <w:rPr>
          <w:lang w:val="es-ES"/>
        </w:rPr>
      </w:pPr>
      <w:r>
        <w:rPr>
          <w:lang w:val="es-ES"/>
        </w:rPr>
        <w:t xml:space="preserve">Acá en textura se puede ver en el </w:t>
      </w:r>
      <w:proofErr w:type="spellStart"/>
      <w:r>
        <w:rPr>
          <w:lang w:val="es-ES"/>
        </w:rPr>
        <w:t>boxplot</w:t>
      </w:r>
      <w:proofErr w:type="spellEnd"/>
      <w:r>
        <w:rPr>
          <w:lang w:val="es-ES"/>
        </w:rPr>
        <w:t xml:space="preserve"> que ese valor cercano a 40 es un posible </w:t>
      </w:r>
      <w:proofErr w:type="spellStart"/>
      <w:r>
        <w:rPr>
          <w:lang w:val="es-ES"/>
        </w:rPr>
        <w:t>outlier</w:t>
      </w:r>
      <w:proofErr w:type="spellEnd"/>
      <w:r>
        <w:rPr>
          <w:lang w:val="es-ES"/>
        </w:rPr>
        <w:t xml:space="preserve">. </w:t>
      </w:r>
    </w:p>
    <w:p w14:paraId="659C9510" w14:textId="4FF64F46" w:rsidR="00763E6F" w:rsidRPr="00854082" w:rsidRDefault="00854082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b/>
          <w:lang w:val="es-ES"/>
        </w:rPr>
      </w:pPr>
      <w:r w:rsidRPr="00854082">
        <w:rPr>
          <w:b/>
          <w:lang w:val="es-ES"/>
        </w:rPr>
        <w:t>Perímetro (</w:t>
      </w:r>
      <w:proofErr w:type="spellStart"/>
      <w:r w:rsidRPr="00854082">
        <w:rPr>
          <w:b/>
          <w:lang w:val="es-ES"/>
        </w:rPr>
        <w:t>perimeter_mean</w:t>
      </w:r>
      <w:proofErr w:type="spellEnd"/>
      <w:r w:rsidRPr="00854082">
        <w:rPr>
          <w:b/>
          <w:lang w:val="es-ES"/>
        </w:rPr>
        <w:t>)</w:t>
      </w:r>
    </w:p>
    <w:p w14:paraId="374C2039" w14:textId="1CD3196C" w:rsidR="00854082" w:rsidRDefault="00854082" w:rsidP="00854082">
      <w:pPr>
        <w:tabs>
          <w:tab w:val="left" w:pos="3226"/>
        </w:tabs>
        <w:rPr>
          <w:lang w:val="es-ES"/>
        </w:rPr>
      </w:pPr>
      <w:r w:rsidRPr="00854082">
        <w:rPr>
          <w:lang w:val="es-ES"/>
        </w:rPr>
        <w:drawing>
          <wp:inline distT="0" distB="0" distL="0" distR="0" wp14:anchorId="2E8FB139" wp14:editId="5A296DEA">
            <wp:extent cx="2709816" cy="2282342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939"/>
                    <a:stretch/>
                  </pic:blipFill>
                  <pic:spPr bwMode="auto">
                    <a:xfrm>
                      <a:off x="0" y="0"/>
                      <a:ext cx="2721954" cy="2292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4082">
        <w:rPr>
          <w:lang w:val="es-ES"/>
        </w:rPr>
        <w:drawing>
          <wp:inline distT="0" distB="0" distL="0" distR="0" wp14:anchorId="2AFA1448" wp14:editId="75384F7F">
            <wp:extent cx="2661513" cy="2157671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888"/>
                    <a:stretch/>
                  </pic:blipFill>
                  <pic:spPr bwMode="auto">
                    <a:xfrm>
                      <a:off x="0" y="0"/>
                      <a:ext cx="2667533" cy="2162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30DBD" w14:textId="37BFB441" w:rsidR="00854082" w:rsidRPr="00854082" w:rsidRDefault="00854082" w:rsidP="00854082">
      <w:pPr>
        <w:tabs>
          <w:tab w:val="left" w:pos="3226"/>
        </w:tabs>
        <w:rPr>
          <w:lang w:val="es-ES"/>
        </w:rPr>
      </w:pPr>
      <w:r>
        <w:rPr>
          <w:lang w:val="es-ES"/>
        </w:rPr>
        <w:t xml:space="preserve">Acá si bien hay puntos llegando a 200, no son solos, sino que varios que pueden representar valores atípicos pero válidos. </w:t>
      </w:r>
    </w:p>
    <w:p w14:paraId="19398D81" w14:textId="5FF0FFE3" w:rsidR="00854082" w:rsidRDefault="00854082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proofErr w:type="spellStart"/>
      <w:r>
        <w:rPr>
          <w:lang w:val="es-ES"/>
        </w:rPr>
        <w:lastRenderedPageBreak/>
        <w:t>Area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área_mean</w:t>
      </w:r>
      <w:proofErr w:type="spellEnd"/>
      <w:r>
        <w:rPr>
          <w:lang w:val="es-ES"/>
        </w:rPr>
        <w:t>):</w:t>
      </w:r>
    </w:p>
    <w:p w14:paraId="3B959A55" w14:textId="5CA4E085" w:rsidR="00854082" w:rsidRPr="00854082" w:rsidRDefault="00854082" w:rsidP="00854082">
      <w:pPr>
        <w:tabs>
          <w:tab w:val="left" w:pos="3226"/>
        </w:tabs>
        <w:rPr>
          <w:lang w:val="es-ES"/>
        </w:rPr>
      </w:pPr>
      <w:r>
        <w:rPr>
          <w:noProof/>
          <w:lang w:val="en-US"/>
        </w:rPr>
        <w:drawing>
          <wp:inline distT="0" distB="0" distL="0" distR="0" wp14:anchorId="75FAE56D" wp14:editId="29DA91F7">
            <wp:extent cx="2633472" cy="2131490"/>
            <wp:effectExtent l="0" t="0" r="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5891" cy="21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4082">
        <w:rPr>
          <w:noProof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0A7F2046" wp14:editId="6271A577">
            <wp:extent cx="2706624" cy="2189106"/>
            <wp:effectExtent l="0" t="0" r="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4882" cy="220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0B308" w14:textId="58BC8CBC" w:rsidR="00854082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r>
        <w:rPr>
          <w:lang w:val="es-ES"/>
        </w:rPr>
        <w:t>(</w:t>
      </w:r>
      <w:proofErr w:type="spellStart"/>
      <w:r>
        <w:rPr>
          <w:lang w:val="es-ES"/>
        </w:rPr>
        <w:t>smoothness_mean</w:t>
      </w:r>
      <w:proofErr w:type="spellEnd"/>
      <w:r>
        <w:rPr>
          <w:lang w:val="es-ES"/>
        </w:rPr>
        <w:t>):</w:t>
      </w:r>
    </w:p>
    <w:p w14:paraId="546FF4B8" w14:textId="3BA0232F" w:rsidR="00D061D0" w:rsidRPr="00D061D0" w:rsidRDefault="00D061D0" w:rsidP="00D061D0">
      <w:pPr>
        <w:tabs>
          <w:tab w:val="left" w:pos="3226"/>
        </w:tabs>
        <w:rPr>
          <w:lang w:val="es-ES"/>
        </w:rPr>
      </w:pPr>
      <w:r w:rsidRPr="00D061D0">
        <w:rPr>
          <w:lang w:val="es-ES"/>
        </w:rPr>
        <w:drawing>
          <wp:inline distT="0" distB="0" distL="0" distR="0" wp14:anchorId="76502217" wp14:editId="7CF7DF23">
            <wp:extent cx="2604211" cy="2082694"/>
            <wp:effectExtent l="0" t="0" r="5715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25308" cy="2099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61D0">
        <w:rPr>
          <w:noProof/>
          <w:lang w:val="en-US"/>
        </w:rPr>
        <w:t xml:space="preserve"> </w:t>
      </w:r>
      <w:r w:rsidRPr="00D061D0">
        <w:rPr>
          <w:noProof/>
          <w:lang w:val="en-US"/>
        </w:rPr>
        <w:drawing>
          <wp:inline distT="0" distB="0" distL="0" distR="0" wp14:anchorId="09728BCF" wp14:editId="15F80D5F">
            <wp:extent cx="2699308" cy="2232706"/>
            <wp:effectExtent l="0" t="0" r="635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0877" cy="22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7E36D" w14:textId="2FDDD177" w:rsidR="00D061D0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r>
        <w:rPr>
          <w:lang w:val="es-ES"/>
        </w:rPr>
        <w:t>(</w:t>
      </w:r>
      <w:proofErr w:type="spellStart"/>
      <w:r>
        <w:rPr>
          <w:lang w:val="es-ES"/>
        </w:rPr>
        <w:t>compactness_mean</w:t>
      </w:r>
      <w:proofErr w:type="spellEnd"/>
      <w:r>
        <w:rPr>
          <w:lang w:val="es-ES"/>
        </w:rPr>
        <w:t>)</w:t>
      </w:r>
    </w:p>
    <w:p w14:paraId="6BB98C1C" w14:textId="16332F32" w:rsidR="00D061D0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r>
        <w:rPr>
          <w:lang w:val="es-ES"/>
        </w:rPr>
        <w:t>Concavidad (</w:t>
      </w:r>
      <w:proofErr w:type="spellStart"/>
      <w:r>
        <w:rPr>
          <w:lang w:val="es-ES"/>
        </w:rPr>
        <w:t>concavity_mean</w:t>
      </w:r>
      <w:proofErr w:type="spellEnd"/>
      <w:r>
        <w:rPr>
          <w:lang w:val="es-ES"/>
        </w:rPr>
        <w:t>):</w:t>
      </w:r>
    </w:p>
    <w:p w14:paraId="44A6587F" w14:textId="784178E7" w:rsidR="00D061D0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r>
        <w:rPr>
          <w:lang w:val="es-ES"/>
        </w:rPr>
        <w:t>Puntos cóncavos (</w:t>
      </w:r>
      <w:proofErr w:type="spellStart"/>
      <w:r>
        <w:rPr>
          <w:lang w:val="es-ES"/>
        </w:rPr>
        <w:t>concave_points_mean</w:t>
      </w:r>
      <w:proofErr w:type="spellEnd"/>
      <w:r>
        <w:rPr>
          <w:lang w:val="es-ES"/>
        </w:rPr>
        <w:t>):</w:t>
      </w:r>
    </w:p>
    <w:p w14:paraId="02C82EA2" w14:textId="0EF645A5" w:rsidR="00D061D0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proofErr w:type="spellStart"/>
      <w:r>
        <w:rPr>
          <w:lang w:val="es-ES"/>
        </w:rPr>
        <w:t>Simetria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symmetry_mean</w:t>
      </w:r>
      <w:proofErr w:type="spellEnd"/>
      <w:r>
        <w:rPr>
          <w:lang w:val="es-ES"/>
        </w:rPr>
        <w:t>):</w:t>
      </w:r>
    </w:p>
    <w:p w14:paraId="18DA8FF4" w14:textId="6C8C8D28" w:rsidR="00D061D0" w:rsidRDefault="00D061D0" w:rsidP="00854082">
      <w:pPr>
        <w:pStyle w:val="Prrafodelista"/>
        <w:numPr>
          <w:ilvl w:val="0"/>
          <w:numId w:val="3"/>
        </w:numPr>
        <w:tabs>
          <w:tab w:val="left" w:pos="3226"/>
        </w:tabs>
        <w:rPr>
          <w:lang w:val="es-ES"/>
        </w:rPr>
      </w:pPr>
      <w:proofErr w:type="spellStart"/>
      <w:r>
        <w:rPr>
          <w:lang w:val="es-ES"/>
        </w:rPr>
        <w:t>Dimension</w:t>
      </w:r>
      <w:proofErr w:type="spellEnd"/>
      <w:r>
        <w:rPr>
          <w:lang w:val="es-ES"/>
        </w:rPr>
        <w:t xml:space="preserve"> del fractal (</w:t>
      </w:r>
      <w:proofErr w:type="spellStart"/>
      <w:r>
        <w:rPr>
          <w:lang w:val="es-ES"/>
        </w:rPr>
        <w:t>fractal_dimension_mean</w:t>
      </w:r>
      <w:proofErr w:type="spellEnd"/>
      <w:r>
        <w:rPr>
          <w:lang w:val="es-ES"/>
        </w:rPr>
        <w:t>):</w:t>
      </w:r>
    </w:p>
    <w:p w14:paraId="67102DD7" w14:textId="3908403B" w:rsidR="00964551" w:rsidRDefault="00964551" w:rsidP="00964551">
      <w:pPr>
        <w:tabs>
          <w:tab w:val="left" w:pos="3226"/>
        </w:tabs>
        <w:ind w:left="360"/>
        <w:rPr>
          <w:lang w:val="es-ES"/>
        </w:rPr>
      </w:pPr>
      <w:r w:rsidRPr="00964551">
        <w:rPr>
          <w:lang w:val="es-ES"/>
        </w:rPr>
        <w:lastRenderedPageBreak/>
        <w:drawing>
          <wp:inline distT="0" distB="0" distL="0" distR="0" wp14:anchorId="05C8D060" wp14:editId="694C8E9E">
            <wp:extent cx="5400040" cy="4182745"/>
            <wp:effectExtent l="0" t="0" r="0" b="825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5FDF" w14:textId="77777777" w:rsidR="00964551" w:rsidRPr="00964551" w:rsidRDefault="00964551" w:rsidP="00964551">
      <w:pPr>
        <w:tabs>
          <w:tab w:val="left" w:pos="3226"/>
        </w:tabs>
        <w:ind w:left="360"/>
        <w:rPr>
          <w:lang w:val="es-ES"/>
        </w:rPr>
      </w:pPr>
      <w:r w:rsidRPr="00964551">
        <w:rPr>
          <w:lang w:val="es-ES"/>
        </w:rPr>
        <w:t>La matriz confirma visualmente que:</w:t>
      </w:r>
    </w:p>
    <w:p w14:paraId="7DF6EE16" w14:textId="77777777" w:rsidR="00964551" w:rsidRPr="00964551" w:rsidRDefault="00964551" w:rsidP="00964551">
      <w:pPr>
        <w:tabs>
          <w:tab w:val="left" w:pos="3226"/>
        </w:tabs>
        <w:ind w:left="360"/>
        <w:rPr>
          <w:lang w:val="es-ES"/>
        </w:rPr>
      </w:pPr>
      <w:r w:rsidRPr="00964551">
        <w:rPr>
          <w:lang w:val="es-ES"/>
        </w:rPr>
        <w:t>Las 10 variables “_mean” son las variables base de las que se derivan las otras 20 (_se y _worst).</w:t>
      </w:r>
    </w:p>
    <w:p w14:paraId="23B354E8" w14:textId="77777777" w:rsidR="00964551" w:rsidRPr="00964551" w:rsidRDefault="00964551" w:rsidP="00964551">
      <w:pPr>
        <w:tabs>
          <w:tab w:val="left" w:pos="3226"/>
        </w:tabs>
        <w:ind w:left="360"/>
        <w:rPr>
          <w:lang w:val="es-ES"/>
        </w:rPr>
      </w:pPr>
      <w:r w:rsidRPr="00964551">
        <w:rPr>
          <w:lang w:val="es-ES"/>
        </w:rPr>
        <w:t>Las variables _se (errores estándar) y _worst (peores valores) aparecen en bloques separados más abajo en la matriz, con correlaciones fuertes con sus correspondientes “mean”, lo que demuestra que son versiones derivadas.</w:t>
      </w:r>
    </w:p>
    <w:p w14:paraId="0C94E271" w14:textId="0BF3646D" w:rsidR="00964551" w:rsidRDefault="00964551" w:rsidP="00964551">
      <w:pPr>
        <w:pBdr>
          <w:bottom w:val="single" w:sz="6" w:space="1" w:color="auto"/>
        </w:pBdr>
        <w:tabs>
          <w:tab w:val="left" w:pos="3226"/>
        </w:tabs>
        <w:ind w:left="360"/>
        <w:rPr>
          <w:lang w:val="es-ES"/>
        </w:rPr>
      </w:pPr>
      <w:r w:rsidRPr="00964551">
        <w:rPr>
          <w:lang w:val="es-ES"/>
        </w:rPr>
        <w:t xml:space="preserve">Por eso, usar solo las “_mean” basta para describir el patrón principal del </w:t>
      </w:r>
      <w:proofErr w:type="spellStart"/>
      <w:r w:rsidRPr="00964551">
        <w:rPr>
          <w:lang w:val="es-ES"/>
        </w:rPr>
        <w:t>dataset</w:t>
      </w:r>
      <w:proofErr w:type="spellEnd"/>
      <w:r w:rsidRPr="00964551">
        <w:rPr>
          <w:lang w:val="es-ES"/>
        </w:rPr>
        <w:t xml:space="preserve"> sin redundancia.</w:t>
      </w:r>
    </w:p>
    <w:p w14:paraId="1360671E" w14:textId="77777777" w:rsidR="00964551" w:rsidRDefault="00964551" w:rsidP="00964551">
      <w:pPr>
        <w:pBdr>
          <w:bottom w:val="single" w:sz="6" w:space="1" w:color="auto"/>
        </w:pBdr>
        <w:tabs>
          <w:tab w:val="left" w:pos="3226"/>
        </w:tabs>
        <w:ind w:left="360"/>
        <w:rPr>
          <w:lang w:val="es-ES"/>
        </w:rPr>
      </w:pPr>
    </w:p>
    <w:p w14:paraId="7BA382F2" w14:textId="77777777" w:rsidR="00964551" w:rsidRPr="00763E6F" w:rsidRDefault="00964551" w:rsidP="00964551">
      <w:pPr>
        <w:jc w:val="center"/>
        <w:rPr>
          <w:b/>
          <w:bCs/>
          <w:lang w:val="es-ES"/>
        </w:rPr>
      </w:pPr>
      <w:r w:rsidRPr="00763E6F">
        <w:rPr>
          <w:b/>
          <w:bCs/>
          <w:lang w:val="es-ES"/>
        </w:rPr>
        <w:t xml:space="preserve">Estudio del </w:t>
      </w:r>
      <w:proofErr w:type="spellStart"/>
      <w:r w:rsidRPr="00763E6F">
        <w:rPr>
          <w:b/>
          <w:bCs/>
          <w:lang w:val="es-ES"/>
        </w:rPr>
        <w:t>dataset</w:t>
      </w:r>
      <w:proofErr w:type="spellEnd"/>
    </w:p>
    <w:p w14:paraId="4AE37400" w14:textId="77777777" w:rsidR="00964551" w:rsidRPr="00964551" w:rsidRDefault="00964551" w:rsidP="00964551">
      <w:pPr>
        <w:jc w:val="center"/>
        <w:rPr>
          <w:lang w:val="es-ES"/>
        </w:rPr>
      </w:pPr>
      <w:r w:rsidRPr="00964551">
        <w:rPr>
          <w:b/>
          <w:bCs/>
          <w:lang w:val="es-ES"/>
        </w:rPr>
        <w:t xml:space="preserve">WDBC (Wisconsin </w:t>
      </w:r>
      <w:proofErr w:type="spellStart"/>
      <w:r w:rsidRPr="00964551">
        <w:rPr>
          <w:b/>
          <w:bCs/>
          <w:lang w:val="es-ES"/>
        </w:rPr>
        <w:t>Diagnostic</w:t>
      </w:r>
      <w:proofErr w:type="spellEnd"/>
      <w:r w:rsidRPr="00964551">
        <w:rPr>
          <w:b/>
          <w:bCs/>
          <w:lang w:val="es-ES"/>
        </w:rPr>
        <w:t xml:space="preserve"> </w:t>
      </w:r>
      <w:proofErr w:type="spellStart"/>
      <w:r w:rsidRPr="00964551">
        <w:rPr>
          <w:b/>
          <w:bCs/>
          <w:lang w:val="es-ES"/>
        </w:rPr>
        <w:t>Breast</w:t>
      </w:r>
      <w:proofErr w:type="spellEnd"/>
      <w:r w:rsidRPr="00964551">
        <w:rPr>
          <w:b/>
          <w:bCs/>
          <w:lang w:val="es-ES"/>
        </w:rPr>
        <w:t xml:space="preserve"> </w:t>
      </w:r>
      <w:proofErr w:type="spellStart"/>
      <w:r w:rsidRPr="00964551">
        <w:rPr>
          <w:b/>
          <w:bCs/>
          <w:lang w:val="es-ES"/>
        </w:rPr>
        <w:t>Cancer</w:t>
      </w:r>
      <w:proofErr w:type="spellEnd"/>
      <w:r w:rsidRPr="00964551">
        <w:rPr>
          <w:b/>
          <w:bCs/>
          <w:lang w:val="es-ES"/>
        </w:rPr>
        <w:t xml:space="preserve"> </w:t>
      </w:r>
      <w:proofErr w:type="spellStart"/>
      <w:r w:rsidRPr="00964551">
        <w:rPr>
          <w:b/>
          <w:bCs/>
          <w:lang w:val="es-ES"/>
        </w:rPr>
        <w:t>Dataset</w:t>
      </w:r>
      <w:proofErr w:type="spellEnd"/>
      <w:r w:rsidRPr="00964551">
        <w:rPr>
          <w:b/>
          <w:bCs/>
          <w:lang w:val="es-ES"/>
        </w:rPr>
        <w:t>)</w:t>
      </w:r>
    </w:p>
    <w:p w14:paraId="49C5C1B1" w14:textId="77777777" w:rsid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  <w:r w:rsidRPr="00964551">
        <w:rPr>
          <w:lang w:val="es-ES"/>
        </w:rPr>
        <w:t xml:space="preserve">El </w:t>
      </w:r>
      <w:proofErr w:type="spellStart"/>
      <w:r w:rsidRPr="00964551">
        <w:rPr>
          <w:lang w:val="es-ES"/>
        </w:rPr>
        <w:t>dataset</w:t>
      </w:r>
      <w:proofErr w:type="spellEnd"/>
      <w:r w:rsidRPr="00964551">
        <w:rPr>
          <w:lang w:val="es-ES"/>
        </w:rPr>
        <w:t xml:space="preserve"> </w:t>
      </w:r>
      <w:proofErr w:type="spellStart"/>
      <w:r w:rsidRPr="00964551">
        <w:rPr>
          <w:lang w:val="es-ES"/>
        </w:rPr>
        <w:t>Glass</w:t>
      </w:r>
      <w:proofErr w:type="spellEnd"/>
      <w:r w:rsidRPr="00964551">
        <w:rPr>
          <w:lang w:val="es-ES"/>
        </w:rPr>
        <w:t xml:space="preserve"> </w:t>
      </w:r>
      <w:proofErr w:type="spellStart"/>
      <w:r w:rsidRPr="00964551">
        <w:rPr>
          <w:lang w:val="es-ES"/>
        </w:rPr>
        <w:t>Identification</w:t>
      </w:r>
      <w:proofErr w:type="spellEnd"/>
      <w:r w:rsidRPr="00964551">
        <w:rPr>
          <w:lang w:val="es-ES"/>
        </w:rPr>
        <w:t xml:space="preserve"> (UCI) fue creado por el Bureau of Criminal </w:t>
      </w:r>
      <w:proofErr w:type="spellStart"/>
      <w:r w:rsidRPr="00964551">
        <w:rPr>
          <w:lang w:val="es-ES"/>
        </w:rPr>
        <w:t>Investigation</w:t>
      </w:r>
      <w:proofErr w:type="spellEnd"/>
      <w:r w:rsidRPr="00964551">
        <w:rPr>
          <w:lang w:val="es-ES"/>
        </w:rPr>
        <w:t xml:space="preserve"> de Estados Unidos.</w:t>
      </w:r>
      <w:r>
        <w:rPr>
          <w:lang w:val="es-ES"/>
        </w:rPr>
        <w:t xml:space="preserve"> </w:t>
      </w:r>
    </w:p>
    <w:p w14:paraId="4AFC1185" w14:textId="45D64FF2" w:rsidR="00964551" w:rsidRP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  <w:r w:rsidRPr="00964551">
        <w:rPr>
          <w:lang w:val="es-ES"/>
        </w:rPr>
        <w:t>Su objetivo es clasificar tipos de vidrios según su composición química medida mediante espectrometría.</w:t>
      </w:r>
    </w:p>
    <w:p w14:paraId="6BE00381" w14:textId="4338FEF9" w:rsid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  <w:r w:rsidRPr="00964551">
        <w:rPr>
          <w:lang w:val="es-ES"/>
        </w:rPr>
        <w:lastRenderedPageBreak/>
        <w:t>Se utilizó originalmente para resolver casos forenses (fragmentos de vidrio en escenas del crimen).</w:t>
      </w:r>
    </w:p>
    <w:p w14:paraId="3A3D1524" w14:textId="0CBE7871" w:rsidR="00964551" w:rsidRDefault="00964551" w:rsidP="00964551">
      <w:pPr>
        <w:tabs>
          <w:tab w:val="left" w:pos="3226"/>
        </w:tabs>
        <w:ind w:left="360"/>
        <w:rPr>
          <w:b/>
        </w:rPr>
      </w:pPr>
      <w:r w:rsidRPr="00964551">
        <w:rPr>
          <w:b/>
        </w:rPr>
        <w:t>Estructura y variables</w:t>
      </w:r>
    </w:p>
    <w:p w14:paraId="6AB3A728" w14:textId="77777777" w:rsidR="00964551" w:rsidRP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  <w:r w:rsidRPr="00964551">
        <w:rPr>
          <w:lang w:val="es-ES"/>
        </w:rPr>
        <w:t>Cada fila representa una muestra de vidrio (por ejemplo, de ventana o contenedor)</w:t>
      </w:r>
    </w:p>
    <w:p w14:paraId="021F4F5C" w14:textId="44CEC676" w:rsid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  <w:r w:rsidRPr="00964551">
        <w:rPr>
          <w:lang w:val="es-ES"/>
        </w:rPr>
        <w:t>y cada columna indica el porcentaje en peso de ciertos óxidos químicos.</w:t>
      </w:r>
    </w:p>
    <w:tbl>
      <w:tblPr>
        <w:tblStyle w:val="Tablaconcuadrcula"/>
        <w:tblW w:w="8494" w:type="dxa"/>
        <w:tblInd w:w="540" w:type="dxa"/>
        <w:tblLook w:val="04A0" w:firstRow="1" w:lastRow="0" w:firstColumn="1" w:lastColumn="0" w:noHBand="0" w:noVBand="1"/>
      </w:tblPr>
      <w:tblGrid>
        <w:gridCol w:w="1736"/>
        <w:gridCol w:w="2257"/>
        <w:gridCol w:w="4501"/>
      </w:tblGrid>
      <w:tr w:rsidR="00964551" w:rsidRPr="002013F3" w14:paraId="42D61A41" w14:textId="77777777" w:rsidTr="002013F3">
        <w:tc>
          <w:tcPr>
            <w:tcW w:w="0" w:type="auto"/>
            <w:hideMark/>
          </w:tcPr>
          <w:p w14:paraId="2FEEC76B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b/>
                <w:bCs/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Variable</w:t>
            </w:r>
          </w:p>
        </w:tc>
        <w:tc>
          <w:tcPr>
            <w:tcW w:w="0" w:type="auto"/>
            <w:hideMark/>
          </w:tcPr>
          <w:p w14:paraId="76651176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b/>
                <w:bCs/>
                <w:sz w:val="22"/>
                <w:lang w:val="en-US"/>
              </w:rPr>
            </w:pPr>
            <w:proofErr w:type="spellStart"/>
            <w:r w:rsidRPr="002013F3">
              <w:rPr>
                <w:b/>
                <w:bCs/>
                <w:sz w:val="22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hideMark/>
          </w:tcPr>
          <w:p w14:paraId="1E5BCD0C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b/>
                <w:bCs/>
                <w:sz w:val="22"/>
                <w:lang w:val="en-US"/>
              </w:rPr>
            </w:pPr>
            <w:proofErr w:type="spellStart"/>
            <w:r w:rsidRPr="002013F3">
              <w:rPr>
                <w:b/>
                <w:bCs/>
                <w:sz w:val="22"/>
                <w:lang w:val="en-US"/>
              </w:rPr>
              <w:t>Unidades</w:t>
            </w:r>
            <w:proofErr w:type="spellEnd"/>
            <w:r w:rsidRPr="002013F3">
              <w:rPr>
                <w:b/>
                <w:bCs/>
                <w:sz w:val="22"/>
                <w:lang w:val="en-US"/>
              </w:rPr>
              <w:t xml:space="preserve"> / </w:t>
            </w:r>
            <w:proofErr w:type="spellStart"/>
            <w:r w:rsidRPr="002013F3">
              <w:rPr>
                <w:b/>
                <w:bCs/>
                <w:sz w:val="22"/>
                <w:lang w:val="en-US"/>
              </w:rPr>
              <w:t>tipo</w:t>
            </w:r>
            <w:proofErr w:type="spellEnd"/>
          </w:p>
        </w:tc>
      </w:tr>
      <w:tr w:rsidR="00964551" w:rsidRPr="002013F3" w14:paraId="6A19C5FB" w14:textId="77777777" w:rsidTr="002013F3">
        <w:tc>
          <w:tcPr>
            <w:tcW w:w="0" w:type="auto"/>
            <w:hideMark/>
          </w:tcPr>
          <w:p w14:paraId="2ABA01BC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RI</w:t>
            </w:r>
          </w:p>
        </w:tc>
        <w:tc>
          <w:tcPr>
            <w:tcW w:w="0" w:type="auto"/>
            <w:hideMark/>
          </w:tcPr>
          <w:p w14:paraId="3CE16622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Índice</w:t>
            </w:r>
            <w:proofErr w:type="spellEnd"/>
            <w:r w:rsidRPr="002013F3">
              <w:rPr>
                <w:sz w:val="22"/>
                <w:lang w:val="en-US"/>
              </w:rPr>
              <w:t xml:space="preserve"> de </w:t>
            </w:r>
            <w:proofErr w:type="spellStart"/>
            <w:r w:rsidRPr="002013F3">
              <w:rPr>
                <w:sz w:val="22"/>
                <w:lang w:val="en-US"/>
              </w:rPr>
              <w:t>refracción</w:t>
            </w:r>
            <w:proofErr w:type="spellEnd"/>
          </w:p>
        </w:tc>
        <w:tc>
          <w:tcPr>
            <w:tcW w:w="0" w:type="auto"/>
            <w:hideMark/>
          </w:tcPr>
          <w:p w14:paraId="2E180237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s-ES"/>
              </w:rPr>
            </w:pPr>
            <w:r w:rsidRPr="002013F3">
              <w:rPr>
                <w:sz w:val="22"/>
                <w:lang w:val="es-ES"/>
              </w:rPr>
              <w:t>adimensional (mide cómo el vidrio desvía la luz)</w:t>
            </w:r>
          </w:p>
        </w:tc>
      </w:tr>
      <w:tr w:rsidR="00964551" w:rsidRPr="002013F3" w14:paraId="5ED20CB6" w14:textId="77777777" w:rsidTr="002013F3">
        <w:tc>
          <w:tcPr>
            <w:tcW w:w="0" w:type="auto"/>
            <w:hideMark/>
          </w:tcPr>
          <w:p w14:paraId="79CD0B64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Na</w:t>
            </w:r>
          </w:p>
        </w:tc>
        <w:tc>
          <w:tcPr>
            <w:tcW w:w="0" w:type="auto"/>
            <w:hideMark/>
          </w:tcPr>
          <w:p w14:paraId="4A3AFA08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Sodio</w:t>
            </w:r>
            <w:proofErr w:type="spellEnd"/>
            <w:r w:rsidRPr="002013F3">
              <w:rPr>
                <w:sz w:val="22"/>
                <w:lang w:val="en-US"/>
              </w:rPr>
              <w:t xml:space="preserve"> (Na)</w:t>
            </w:r>
          </w:p>
        </w:tc>
        <w:tc>
          <w:tcPr>
            <w:tcW w:w="0" w:type="auto"/>
            <w:hideMark/>
          </w:tcPr>
          <w:p w14:paraId="5396E4BD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porcentaje</w:t>
            </w:r>
            <w:proofErr w:type="spellEnd"/>
            <w:r w:rsidRPr="002013F3">
              <w:rPr>
                <w:sz w:val="22"/>
                <w:lang w:val="en-US"/>
              </w:rPr>
              <w:t xml:space="preserve"> </w:t>
            </w:r>
            <w:proofErr w:type="spellStart"/>
            <w:r w:rsidRPr="002013F3">
              <w:rPr>
                <w:sz w:val="22"/>
                <w:lang w:val="en-US"/>
              </w:rPr>
              <w:t>en</w:t>
            </w:r>
            <w:proofErr w:type="spellEnd"/>
            <w:r w:rsidRPr="002013F3">
              <w:rPr>
                <w:sz w:val="22"/>
                <w:lang w:val="en-US"/>
              </w:rPr>
              <w:t xml:space="preserve"> peso (%)</w:t>
            </w:r>
          </w:p>
        </w:tc>
      </w:tr>
      <w:tr w:rsidR="00964551" w:rsidRPr="002013F3" w14:paraId="10635859" w14:textId="77777777" w:rsidTr="002013F3">
        <w:tc>
          <w:tcPr>
            <w:tcW w:w="0" w:type="auto"/>
            <w:hideMark/>
          </w:tcPr>
          <w:p w14:paraId="3B3E8B18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Mg</w:t>
            </w:r>
          </w:p>
        </w:tc>
        <w:tc>
          <w:tcPr>
            <w:tcW w:w="0" w:type="auto"/>
            <w:hideMark/>
          </w:tcPr>
          <w:p w14:paraId="696ADD8D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Magnesio</w:t>
            </w:r>
            <w:proofErr w:type="spellEnd"/>
            <w:r w:rsidRPr="002013F3">
              <w:rPr>
                <w:sz w:val="22"/>
                <w:lang w:val="en-US"/>
              </w:rPr>
              <w:t xml:space="preserve"> (Mg)</w:t>
            </w:r>
          </w:p>
        </w:tc>
        <w:tc>
          <w:tcPr>
            <w:tcW w:w="0" w:type="auto"/>
            <w:hideMark/>
          </w:tcPr>
          <w:p w14:paraId="43C24F27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702F65F8" w14:textId="77777777" w:rsidTr="002013F3">
        <w:tc>
          <w:tcPr>
            <w:tcW w:w="0" w:type="auto"/>
            <w:hideMark/>
          </w:tcPr>
          <w:p w14:paraId="4E410541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Al</w:t>
            </w:r>
          </w:p>
        </w:tc>
        <w:tc>
          <w:tcPr>
            <w:tcW w:w="0" w:type="auto"/>
            <w:hideMark/>
          </w:tcPr>
          <w:p w14:paraId="2F736DEC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Aluminio</w:t>
            </w:r>
            <w:proofErr w:type="spellEnd"/>
            <w:r w:rsidRPr="002013F3">
              <w:rPr>
                <w:sz w:val="22"/>
                <w:lang w:val="en-US"/>
              </w:rPr>
              <w:t xml:space="preserve"> (Al)</w:t>
            </w:r>
          </w:p>
        </w:tc>
        <w:tc>
          <w:tcPr>
            <w:tcW w:w="0" w:type="auto"/>
            <w:hideMark/>
          </w:tcPr>
          <w:p w14:paraId="7A4CD25E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55045125" w14:textId="77777777" w:rsidTr="002013F3">
        <w:tc>
          <w:tcPr>
            <w:tcW w:w="0" w:type="auto"/>
            <w:hideMark/>
          </w:tcPr>
          <w:p w14:paraId="6567C4D1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Si</w:t>
            </w:r>
          </w:p>
        </w:tc>
        <w:tc>
          <w:tcPr>
            <w:tcW w:w="0" w:type="auto"/>
            <w:hideMark/>
          </w:tcPr>
          <w:p w14:paraId="58F66B27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Silicio</w:t>
            </w:r>
            <w:proofErr w:type="spellEnd"/>
            <w:r w:rsidRPr="002013F3">
              <w:rPr>
                <w:sz w:val="22"/>
                <w:lang w:val="en-US"/>
              </w:rPr>
              <w:t xml:space="preserve"> (Si)</w:t>
            </w:r>
          </w:p>
        </w:tc>
        <w:tc>
          <w:tcPr>
            <w:tcW w:w="0" w:type="auto"/>
            <w:hideMark/>
          </w:tcPr>
          <w:p w14:paraId="0079A039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76ED0322" w14:textId="77777777" w:rsidTr="002013F3">
        <w:tc>
          <w:tcPr>
            <w:tcW w:w="0" w:type="auto"/>
            <w:hideMark/>
          </w:tcPr>
          <w:p w14:paraId="21A9D941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K</w:t>
            </w:r>
          </w:p>
        </w:tc>
        <w:tc>
          <w:tcPr>
            <w:tcW w:w="0" w:type="auto"/>
            <w:hideMark/>
          </w:tcPr>
          <w:p w14:paraId="0C004545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Potasio</w:t>
            </w:r>
            <w:proofErr w:type="spellEnd"/>
            <w:r w:rsidRPr="002013F3">
              <w:rPr>
                <w:sz w:val="22"/>
                <w:lang w:val="en-US"/>
              </w:rPr>
              <w:t xml:space="preserve"> (K)</w:t>
            </w:r>
          </w:p>
        </w:tc>
        <w:tc>
          <w:tcPr>
            <w:tcW w:w="0" w:type="auto"/>
            <w:hideMark/>
          </w:tcPr>
          <w:p w14:paraId="016E1374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49804BB7" w14:textId="77777777" w:rsidTr="002013F3">
        <w:tc>
          <w:tcPr>
            <w:tcW w:w="0" w:type="auto"/>
            <w:hideMark/>
          </w:tcPr>
          <w:p w14:paraId="7D9E1FD1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Ca</w:t>
            </w:r>
          </w:p>
        </w:tc>
        <w:tc>
          <w:tcPr>
            <w:tcW w:w="0" w:type="auto"/>
            <w:hideMark/>
          </w:tcPr>
          <w:p w14:paraId="36379308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Calcio</w:t>
            </w:r>
            <w:proofErr w:type="spellEnd"/>
            <w:r w:rsidRPr="002013F3">
              <w:rPr>
                <w:sz w:val="22"/>
                <w:lang w:val="en-US"/>
              </w:rPr>
              <w:t xml:space="preserve"> (Ca)</w:t>
            </w:r>
          </w:p>
        </w:tc>
        <w:tc>
          <w:tcPr>
            <w:tcW w:w="0" w:type="auto"/>
            <w:hideMark/>
          </w:tcPr>
          <w:p w14:paraId="0D10685C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38B1A70D" w14:textId="77777777" w:rsidTr="002013F3">
        <w:tc>
          <w:tcPr>
            <w:tcW w:w="0" w:type="auto"/>
            <w:hideMark/>
          </w:tcPr>
          <w:p w14:paraId="59E59175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Ba</w:t>
            </w:r>
          </w:p>
        </w:tc>
        <w:tc>
          <w:tcPr>
            <w:tcW w:w="0" w:type="auto"/>
            <w:hideMark/>
          </w:tcPr>
          <w:p w14:paraId="570A1782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Bario</w:t>
            </w:r>
            <w:proofErr w:type="spellEnd"/>
            <w:r w:rsidRPr="002013F3">
              <w:rPr>
                <w:sz w:val="22"/>
                <w:lang w:val="en-US"/>
              </w:rPr>
              <w:t xml:space="preserve"> (Ba)</w:t>
            </w:r>
          </w:p>
        </w:tc>
        <w:tc>
          <w:tcPr>
            <w:tcW w:w="0" w:type="auto"/>
            <w:hideMark/>
          </w:tcPr>
          <w:p w14:paraId="3934C68B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58D3D8AD" w14:textId="77777777" w:rsidTr="002013F3">
        <w:tc>
          <w:tcPr>
            <w:tcW w:w="0" w:type="auto"/>
            <w:hideMark/>
          </w:tcPr>
          <w:p w14:paraId="12626E6C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b/>
                <w:bCs/>
                <w:sz w:val="22"/>
                <w:lang w:val="en-US"/>
              </w:rPr>
              <w:t>Fe</w:t>
            </w:r>
          </w:p>
        </w:tc>
        <w:tc>
          <w:tcPr>
            <w:tcW w:w="0" w:type="auto"/>
            <w:hideMark/>
          </w:tcPr>
          <w:p w14:paraId="6532F0C3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Hierro</w:t>
            </w:r>
            <w:proofErr w:type="spellEnd"/>
            <w:r w:rsidRPr="002013F3">
              <w:rPr>
                <w:sz w:val="22"/>
                <w:lang w:val="en-US"/>
              </w:rPr>
              <w:t xml:space="preserve"> (Fe)</w:t>
            </w:r>
          </w:p>
        </w:tc>
        <w:tc>
          <w:tcPr>
            <w:tcW w:w="0" w:type="auto"/>
            <w:hideMark/>
          </w:tcPr>
          <w:p w14:paraId="6E4B4646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>%</w:t>
            </w:r>
          </w:p>
        </w:tc>
      </w:tr>
      <w:tr w:rsidR="00964551" w:rsidRPr="002013F3" w14:paraId="5809A401" w14:textId="77777777" w:rsidTr="002013F3">
        <w:tc>
          <w:tcPr>
            <w:tcW w:w="0" w:type="auto"/>
            <w:hideMark/>
          </w:tcPr>
          <w:p w14:paraId="522C3864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b/>
                <w:bCs/>
                <w:sz w:val="22"/>
                <w:lang w:val="en-US"/>
              </w:rPr>
              <w:t>Clase</w:t>
            </w:r>
            <w:proofErr w:type="spellEnd"/>
            <w:r w:rsidRPr="002013F3">
              <w:rPr>
                <w:b/>
                <w:bCs/>
                <w:sz w:val="22"/>
                <w:lang w:val="en-US"/>
              </w:rPr>
              <w:t xml:space="preserve"> (target)</w:t>
            </w:r>
          </w:p>
        </w:tc>
        <w:tc>
          <w:tcPr>
            <w:tcW w:w="0" w:type="auto"/>
            <w:hideMark/>
          </w:tcPr>
          <w:p w14:paraId="057C427A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proofErr w:type="spellStart"/>
            <w:r w:rsidRPr="002013F3">
              <w:rPr>
                <w:sz w:val="22"/>
                <w:lang w:val="en-US"/>
              </w:rPr>
              <w:t>Tipo</w:t>
            </w:r>
            <w:proofErr w:type="spellEnd"/>
            <w:r w:rsidRPr="002013F3">
              <w:rPr>
                <w:sz w:val="22"/>
                <w:lang w:val="en-US"/>
              </w:rPr>
              <w:t xml:space="preserve"> de </w:t>
            </w:r>
            <w:proofErr w:type="spellStart"/>
            <w:r w:rsidRPr="002013F3">
              <w:rPr>
                <w:sz w:val="22"/>
                <w:lang w:val="en-US"/>
              </w:rPr>
              <w:t>vidrio</w:t>
            </w:r>
            <w:proofErr w:type="spellEnd"/>
          </w:p>
        </w:tc>
        <w:tc>
          <w:tcPr>
            <w:tcW w:w="0" w:type="auto"/>
            <w:hideMark/>
          </w:tcPr>
          <w:p w14:paraId="0B0EF640" w14:textId="77777777" w:rsidR="00964551" w:rsidRPr="002013F3" w:rsidRDefault="00964551" w:rsidP="00964551">
            <w:pPr>
              <w:tabs>
                <w:tab w:val="left" w:pos="3226"/>
              </w:tabs>
              <w:spacing w:after="160" w:line="278" w:lineRule="auto"/>
              <w:ind w:left="360"/>
              <w:jc w:val="both"/>
              <w:rPr>
                <w:sz w:val="22"/>
                <w:lang w:val="en-US"/>
              </w:rPr>
            </w:pPr>
            <w:r w:rsidRPr="002013F3">
              <w:rPr>
                <w:sz w:val="22"/>
                <w:lang w:val="en-US"/>
              </w:rPr>
              <w:t xml:space="preserve">1–7 (float o </w:t>
            </w:r>
            <w:proofErr w:type="spellStart"/>
            <w:r w:rsidRPr="002013F3">
              <w:rPr>
                <w:sz w:val="22"/>
                <w:lang w:val="en-US"/>
              </w:rPr>
              <w:t>int</w:t>
            </w:r>
            <w:proofErr w:type="spellEnd"/>
            <w:r w:rsidRPr="002013F3">
              <w:rPr>
                <w:sz w:val="22"/>
                <w:lang w:val="en-US"/>
              </w:rPr>
              <w:t>)</w:t>
            </w:r>
          </w:p>
        </w:tc>
      </w:tr>
    </w:tbl>
    <w:p w14:paraId="4BA0726F" w14:textId="0149E01A" w:rsidR="00964551" w:rsidRDefault="00964551" w:rsidP="00964551">
      <w:pPr>
        <w:tabs>
          <w:tab w:val="left" w:pos="3226"/>
        </w:tabs>
        <w:ind w:left="360"/>
        <w:jc w:val="both"/>
        <w:rPr>
          <w:lang w:val="es-ES"/>
        </w:rPr>
      </w:pPr>
    </w:p>
    <w:p w14:paraId="0A27031D" w14:textId="77777777" w:rsidR="002013F3" w:rsidRPr="00964551" w:rsidRDefault="002013F3" w:rsidP="00964551">
      <w:pPr>
        <w:tabs>
          <w:tab w:val="left" w:pos="3226"/>
        </w:tabs>
        <w:ind w:left="360"/>
        <w:jc w:val="both"/>
        <w:rPr>
          <w:lang w:val="es-ES"/>
        </w:rPr>
      </w:pPr>
      <w:bookmarkStart w:id="0" w:name="_GoBack"/>
      <w:bookmarkEnd w:id="0"/>
    </w:p>
    <w:sectPr w:rsidR="002013F3" w:rsidRPr="009645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DC5BC5"/>
    <w:multiLevelType w:val="hybridMultilevel"/>
    <w:tmpl w:val="5F5244F0"/>
    <w:lvl w:ilvl="0" w:tplc="AD48126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52EF9"/>
    <w:multiLevelType w:val="hybridMultilevel"/>
    <w:tmpl w:val="FC804C60"/>
    <w:lvl w:ilvl="0" w:tplc="9344228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40960"/>
    <w:multiLevelType w:val="hybridMultilevel"/>
    <w:tmpl w:val="55A86CF8"/>
    <w:lvl w:ilvl="0" w:tplc="65561E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E6F"/>
    <w:rsid w:val="002013F3"/>
    <w:rsid w:val="0026308E"/>
    <w:rsid w:val="002F7076"/>
    <w:rsid w:val="00341FAF"/>
    <w:rsid w:val="004B1BF9"/>
    <w:rsid w:val="005620BD"/>
    <w:rsid w:val="00710C5A"/>
    <w:rsid w:val="00763E6F"/>
    <w:rsid w:val="007F0873"/>
    <w:rsid w:val="00854082"/>
    <w:rsid w:val="00964551"/>
    <w:rsid w:val="00C75D6D"/>
    <w:rsid w:val="00D061D0"/>
    <w:rsid w:val="00D07DAA"/>
    <w:rsid w:val="00E376F7"/>
    <w:rsid w:val="00F2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9EEE8"/>
  <w15:chartTrackingRefBased/>
  <w15:docId w15:val="{0CA71FBB-C47C-4FC1-B433-69ABACC1D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4551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63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3E6F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5620BD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7F087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0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ages.cs.wisc.edu/~street/saves/xcyt1.gif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17/breast+cancer+wisconsin+diagnostic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FamiliaNatelloMedina</cp:lastModifiedBy>
  <cp:revision>3</cp:revision>
  <dcterms:created xsi:type="dcterms:W3CDTF">2025-11-10T12:27:00Z</dcterms:created>
  <dcterms:modified xsi:type="dcterms:W3CDTF">2025-11-11T01:45:00Z</dcterms:modified>
</cp:coreProperties>
</file>