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05185" w:rsidRDefault="00E56911" w:rsidP="00C05185">
      <w:pPr>
        <w:spacing w:after="42"/>
        <w:ind w:left="2266"/>
        <w:rPr>
          <w:rFonts w:ascii="Oswald" w:eastAsia="Oswald" w:hAnsi="Oswald" w:cs="Oswald"/>
          <w:color w:val="FFFFFF"/>
          <w:sz w:val="96"/>
        </w:rPr>
      </w:pPr>
      <w:r>
        <w:rPr>
          <w:rFonts w:ascii="Oswald" w:eastAsia="Oswald" w:hAnsi="Oswald" w:cs="Oswald"/>
          <w:color w:val="FFFFFF"/>
          <w:sz w:val="96"/>
        </w:rPr>
        <w:t>SQL Data Analyst Project</w:t>
      </w:r>
    </w:p>
    <w:p w:rsidR="00C05185" w:rsidRDefault="00C05185">
      <w:pPr>
        <w:spacing w:after="42"/>
        <w:ind w:left="2266"/>
      </w:pPr>
    </w:p>
    <w:p w:rsidR="00F00E69" w:rsidRPr="0046532E" w:rsidRDefault="00F00E69">
      <w:pPr>
        <w:spacing w:after="42"/>
        <w:ind w:left="2266"/>
        <w:rPr>
          <w:b/>
          <w:bCs/>
          <w:color w:val="000000" w:themeColor="text1"/>
        </w:rPr>
      </w:pPr>
    </w:p>
    <w:p w:rsidR="006B50B6" w:rsidRDefault="00E56911">
      <w:pPr>
        <w:numPr>
          <w:ilvl w:val="0"/>
          <w:numId w:val="1"/>
        </w:numPr>
        <w:spacing w:after="238"/>
        <w:ind w:hanging="289"/>
      </w:pPr>
      <w:r>
        <w:rPr>
          <w:noProof/>
        </w:rPr>
        <w:lastRenderedPageBreak/>
        <w:drawing>
          <wp:anchor distT="0" distB="0" distL="114300" distR="114300" simplePos="0" relativeHeight="251658240" behindDoc="0" locked="0" layoutInCell="1" allowOverlap="0">
            <wp:simplePos x="0" y="0"/>
            <wp:positionH relativeFrom="column">
              <wp:posOffset>4542100</wp:posOffset>
            </wp:positionH>
            <wp:positionV relativeFrom="paragraph">
              <wp:posOffset>-94759</wp:posOffset>
            </wp:positionV>
            <wp:extent cx="3756275" cy="3620300"/>
            <wp:effectExtent l="0" t="0" r="0" b="0"/>
            <wp:wrapSquare wrapText="bothSides"/>
            <wp:docPr id="33"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7"/>
                    <a:stretch>
                      <a:fillRect/>
                    </a:stretch>
                  </pic:blipFill>
                  <pic:spPr>
                    <a:xfrm>
                      <a:off x="0" y="0"/>
                      <a:ext cx="3756275" cy="3620300"/>
                    </a:xfrm>
                    <a:prstGeom prst="rect">
                      <a:avLst/>
                    </a:prstGeom>
                  </pic:spPr>
                </pic:pic>
              </a:graphicData>
            </a:graphic>
          </wp:anchor>
        </w:drawing>
      </w:r>
      <w:r>
        <w:rPr>
          <w:rFonts w:ascii="Arial" w:eastAsia="Arial" w:hAnsi="Arial" w:cs="Arial"/>
          <w:b/>
          <w:color w:val="FFFFFF"/>
          <w:sz w:val="26"/>
        </w:rPr>
        <w:t>Detecting Recursive Fraudulent Transactions</w:t>
      </w:r>
    </w:p>
    <w:p w:rsidR="006B50B6" w:rsidRDefault="00E56911">
      <w:pPr>
        <w:spacing w:after="30"/>
        <w:ind w:left="-5" w:right="-11857" w:hanging="10"/>
      </w:pPr>
      <w:r>
        <w:rPr>
          <w:rFonts w:ascii="Arial" w:eastAsia="Arial" w:hAnsi="Arial" w:cs="Arial"/>
          <w:b/>
          <w:color w:val="FFFFFF"/>
        </w:rPr>
        <w:t>Question:</w:t>
      </w:r>
    </w:p>
    <w:p w:rsidR="006B50B6" w:rsidRDefault="00E56911">
      <w:pPr>
        <w:spacing w:after="240" w:line="288" w:lineRule="auto"/>
        <w:ind w:left="-5" w:right="2934" w:hanging="10"/>
      </w:pPr>
      <w:r>
        <w:rPr>
          <w:rFonts w:ascii="Arial" w:eastAsia="Arial" w:hAnsi="Arial" w:cs="Arial"/>
          <w:color w:val="FFFFFF"/>
        </w:rPr>
        <w:t>Use a recursive CTE to identify potential money laundering chains where money is transferred from one account to another across multiple steps, with all transactions flagged as fraudulent.</w:t>
      </w:r>
    </w:p>
    <w:p w:rsidR="006B50B6" w:rsidRDefault="00E56911">
      <w:pPr>
        <w:spacing w:after="30"/>
        <w:ind w:left="-5" w:right="-11857" w:hanging="10"/>
      </w:pPr>
      <w:r>
        <w:rPr>
          <w:rFonts w:ascii="Arial" w:eastAsia="Arial" w:hAnsi="Arial" w:cs="Arial"/>
          <w:b/>
          <w:color w:val="FFFFFF"/>
        </w:rPr>
        <w:t>Solution:</w:t>
      </w:r>
    </w:p>
    <w:p w:rsidR="006B50B6" w:rsidRDefault="00E56911">
      <w:pPr>
        <w:spacing w:after="72" w:line="288" w:lineRule="auto"/>
        <w:ind w:left="-5" w:right="2934" w:hanging="10"/>
      </w:pPr>
      <w:r>
        <w:rPr>
          <w:rFonts w:ascii="Arial" w:eastAsia="Arial" w:hAnsi="Arial" w:cs="Arial"/>
          <w:color w:val="FFFFFF"/>
        </w:rPr>
        <w:t>This query uses a recursive CTE to track the flow of money through multiple accounts over successive steps. The recursive part of the CTE allows us to follow the chain of transactions and identify patterns that could indicate money laundering activities. It filters out chains where all transactions are marked as fraudulent.</w:t>
      </w:r>
    </w:p>
    <w:p w:rsidR="006B50B6" w:rsidRDefault="00E56911">
      <w:pPr>
        <w:numPr>
          <w:ilvl w:val="0"/>
          <w:numId w:val="1"/>
        </w:numPr>
        <w:spacing w:after="238"/>
        <w:ind w:hanging="289"/>
      </w:pPr>
      <w:r>
        <w:rPr>
          <w:rFonts w:ascii="Arial" w:eastAsia="Arial" w:hAnsi="Arial" w:cs="Arial"/>
          <w:b/>
          <w:color w:val="FFFFFF"/>
          <w:sz w:val="23"/>
        </w:rPr>
        <w:t>Analyzing Fraudulent Activity over Time</w:t>
      </w:r>
    </w:p>
    <w:p w:rsidR="006B50B6" w:rsidRDefault="00E56911">
      <w:pPr>
        <w:spacing w:after="27"/>
        <w:ind w:left="-5" w:hanging="10"/>
      </w:pPr>
      <w:r>
        <w:rPr>
          <w:rFonts w:ascii="Arial" w:eastAsia="Arial" w:hAnsi="Arial" w:cs="Arial"/>
          <w:b/>
          <w:color w:val="FFFFFF"/>
          <w:sz w:val="20"/>
        </w:rPr>
        <w:t>Question:</w:t>
      </w:r>
    </w:p>
    <w:p w:rsidR="006B50B6" w:rsidRDefault="00E56911">
      <w:pPr>
        <w:spacing w:after="399" w:line="265" w:lineRule="auto"/>
        <w:ind w:left="-5" w:hanging="10"/>
      </w:pPr>
      <w:r>
        <w:rPr>
          <w:rFonts w:ascii="Arial" w:eastAsia="Arial" w:hAnsi="Arial" w:cs="Arial"/>
          <w:color w:val="FFFFFF"/>
          <w:sz w:val="20"/>
        </w:rPr>
        <w:t>Use a CTE to calculate the rolling sum of fraudulent transactions for each account over the last 5 steps.</w:t>
      </w:r>
    </w:p>
    <w:p w:rsidR="006B50B6" w:rsidRDefault="00E56911">
      <w:pPr>
        <w:spacing w:after="72" w:line="288" w:lineRule="auto"/>
        <w:ind w:left="237" w:right="2934" w:hanging="10"/>
      </w:pPr>
      <w:r>
        <w:rPr>
          <w:rFonts w:ascii="Arial" w:eastAsia="Arial" w:hAnsi="Arial" w:cs="Arial"/>
          <w:color w:val="FFFFFF"/>
        </w:rPr>
        <w:lastRenderedPageBreak/>
        <w:t>Solution : This query uses a CTE to calculate the cumulative sum of fraudulent transactions for each account over the last five steps. It helps in understanding the temporal distribution of fraudulent activities, which is crucial for identifying patterns over time.</w:t>
      </w:r>
    </w:p>
    <w:p w:rsidR="006B50B6" w:rsidRDefault="00E56911">
      <w:pPr>
        <w:spacing w:after="0"/>
        <w:ind w:left="-386" w:right="-651"/>
      </w:pPr>
      <w:r>
        <w:rPr>
          <w:noProof/>
        </w:rPr>
        <w:drawing>
          <wp:inline distT="0" distB="0" distL="0" distR="0">
            <wp:extent cx="8839201" cy="1533138"/>
            <wp:effectExtent l="0" t="0" r="0" b="0"/>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8"/>
                    <a:stretch>
                      <a:fillRect/>
                    </a:stretch>
                  </pic:blipFill>
                  <pic:spPr>
                    <a:xfrm>
                      <a:off x="0" y="0"/>
                      <a:ext cx="8839201" cy="1533138"/>
                    </a:xfrm>
                    <a:prstGeom prst="rect">
                      <a:avLst/>
                    </a:prstGeom>
                  </pic:spPr>
                </pic:pic>
              </a:graphicData>
            </a:graphic>
          </wp:inline>
        </w:drawing>
      </w:r>
    </w:p>
    <w:p w:rsidR="006B50B6" w:rsidRDefault="00E56911">
      <w:pPr>
        <w:numPr>
          <w:ilvl w:val="0"/>
          <w:numId w:val="1"/>
        </w:numPr>
        <w:spacing w:after="238"/>
        <w:ind w:hanging="289"/>
      </w:pPr>
      <w:r>
        <w:rPr>
          <w:rFonts w:ascii="Arial" w:eastAsia="Arial" w:hAnsi="Arial" w:cs="Arial"/>
          <w:b/>
          <w:color w:val="FFFFFF"/>
          <w:sz w:val="23"/>
        </w:rPr>
        <w:t>Complex Fraud Detection Using Multiple CTEs</w:t>
      </w:r>
    </w:p>
    <w:p w:rsidR="006B50B6" w:rsidRDefault="00E56911">
      <w:pPr>
        <w:spacing w:after="27"/>
        <w:ind w:left="-5" w:hanging="10"/>
      </w:pPr>
      <w:r>
        <w:rPr>
          <w:rFonts w:ascii="Arial" w:eastAsia="Arial" w:hAnsi="Arial" w:cs="Arial"/>
          <w:b/>
          <w:color w:val="FFFFFF"/>
          <w:sz w:val="20"/>
        </w:rPr>
        <w:t>Question:</w:t>
      </w:r>
    </w:p>
    <w:p w:rsidR="006B50B6" w:rsidRDefault="00E56911">
      <w:pPr>
        <w:spacing w:after="19" w:line="265" w:lineRule="auto"/>
        <w:ind w:left="-5" w:hanging="10"/>
      </w:pPr>
      <w:r>
        <w:rPr>
          <w:rFonts w:ascii="Arial" w:eastAsia="Arial" w:hAnsi="Arial" w:cs="Arial"/>
          <w:color w:val="FFFFFF"/>
          <w:sz w:val="20"/>
        </w:rPr>
        <w:t>Use multiple CTEs to identify accounts with suspicious activity, including large transfers, consecutive transactions without balance change, and flagged transactions.</w:t>
      </w:r>
    </w:p>
    <w:p w:rsidR="006B50B6" w:rsidRDefault="00E56911">
      <w:pPr>
        <w:spacing w:after="0"/>
        <w:ind w:left="52"/>
      </w:pPr>
      <w:r>
        <w:rPr>
          <w:noProof/>
        </w:rPr>
        <w:lastRenderedPageBreak/>
        <w:drawing>
          <wp:inline distT="0" distB="0" distL="0" distR="0">
            <wp:extent cx="7181850" cy="3076575"/>
            <wp:effectExtent l="0" t="0" r="0" b="0"/>
            <wp:docPr id="64" name="Picture 64"/>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9"/>
                    <a:stretch>
                      <a:fillRect/>
                    </a:stretch>
                  </pic:blipFill>
                  <pic:spPr>
                    <a:xfrm>
                      <a:off x="0" y="0"/>
                      <a:ext cx="7181850" cy="3076575"/>
                    </a:xfrm>
                    <a:prstGeom prst="rect">
                      <a:avLst/>
                    </a:prstGeom>
                  </pic:spPr>
                </pic:pic>
              </a:graphicData>
            </a:graphic>
          </wp:inline>
        </w:drawing>
      </w:r>
    </w:p>
    <w:p w:rsidR="006B50B6" w:rsidRDefault="00E56911">
      <w:pPr>
        <w:numPr>
          <w:ilvl w:val="0"/>
          <w:numId w:val="1"/>
        </w:numPr>
        <w:spacing w:after="1421"/>
        <w:ind w:hanging="289"/>
      </w:pPr>
      <w:r>
        <w:rPr>
          <w:rFonts w:ascii="Arial" w:eastAsia="Arial" w:hAnsi="Arial" w:cs="Arial"/>
          <w:b/>
          <w:color w:val="FFFFFF"/>
          <w:sz w:val="23"/>
        </w:rPr>
        <w:t xml:space="preserve">Write me a query that checks if the computed </w:t>
      </w:r>
      <w:proofErr w:type="spellStart"/>
      <w:r>
        <w:rPr>
          <w:rFonts w:ascii="Roboto Mono" w:eastAsia="Roboto Mono" w:hAnsi="Roboto Mono" w:cs="Roboto Mono"/>
          <w:b/>
          <w:color w:val="FFFFFF"/>
          <w:sz w:val="23"/>
        </w:rPr>
        <w:t>new_updated_Balance</w:t>
      </w:r>
      <w:proofErr w:type="spellEnd"/>
      <w:r>
        <w:rPr>
          <w:rFonts w:ascii="Arial" w:eastAsia="Arial" w:hAnsi="Arial" w:cs="Arial"/>
          <w:b/>
          <w:color w:val="FFFFFF"/>
          <w:sz w:val="23"/>
        </w:rPr>
        <w:t xml:space="preserve"> is the same as the actual </w:t>
      </w:r>
      <w:proofErr w:type="spellStart"/>
      <w:r>
        <w:rPr>
          <w:rFonts w:ascii="Roboto Mono" w:eastAsia="Roboto Mono" w:hAnsi="Roboto Mono" w:cs="Roboto Mono"/>
          <w:b/>
          <w:color w:val="FFFFFF"/>
          <w:sz w:val="23"/>
        </w:rPr>
        <w:t>newbalanceDest</w:t>
      </w:r>
      <w:proofErr w:type="spellEnd"/>
      <w:r>
        <w:rPr>
          <w:rFonts w:ascii="Arial" w:eastAsia="Arial" w:hAnsi="Arial" w:cs="Arial"/>
          <w:b/>
          <w:color w:val="FFFFFF"/>
          <w:sz w:val="23"/>
        </w:rPr>
        <w:t xml:space="preserve"> in the table. If they are equal, it returns those rows.</w:t>
      </w:r>
    </w:p>
    <w:p w:rsidR="006B50B6" w:rsidRDefault="00E56911">
      <w:pPr>
        <w:spacing w:after="0"/>
        <w:ind w:left="1047"/>
      </w:pPr>
      <w:r>
        <w:rPr>
          <w:noProof/>
        </w:rPr>
        <w:lastRenderedPageBreak/>
        <w:drawing>
          <wp:inline distT="0" distB="0" distL="0" distR="0">
            <wp:extent cx="7019925" cy="1143000"/>
            <wp:effectExtent l="0" t="0" r="0" b="0"/>
            <wp:docPr id="80" name="Picture 80"/>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10"/>
                    <a:stretch>
                      <a:fillRect/>
                    </a:stretch>
                  </pic:blipFill>
                  <pic:spPr>
                    <a:xfrm>
                      <a:off x="0" y="0"/>
                      <a:ext cx="7019925" cy="1143000"/>
                    </a:xfrm>
                    <a:prstGeom prst="rect">
                      <a:avLst/>
                    </a:prstGeom>
                  </pic:spPr>
                </pic:pic>
              </a:graphicData>
            </a:graphic>
          </wp:inline>
        </w:drawing>
      </w:r>
    </w:p>
    <w:p w:rsidR="006B50B6" w:rsidRDefault="006B50B6" w:rsidP="00DE48AB">
      <w:pPr>
        <w:spacing w:after="238"/>
      </w:pPr>
    </w:p>
    <w:p w:rsidR="006B50B6" w:rsidRDefault="006B50B6" w:rsidP="00DE48AB">
      <w:pPr>
        <w:spacing w:after="51"/>
        <w:ind w:left="599" w:right="1281"/>
      </w:pPr>
    </w:p>
    <w:p w:rsidR="006B50B6" w:rsidRDefault="006B50B6" w:rsidP="00DE48AB">
      <w:pPr>
        <w:spacing w:after="19" w:line="265" w:lineRule="auto"/>
        <w:ind w:left="599" w:right="1281"/>
      </w:pPr>
    </w:p>
    <w:sectPr w:rsidR="006B50B6">
      <w:headerReference w:type="even" r:id="rId11"/>
      <w:headerReference w:type="default" r:id="rId12"/>
      <w:headerReference w:type="first" r:id="rId13"/>
      <w:pgSz w:w="14400" w:h="8100" w:orient="landscape"/>
      <w:pgMar w:top="837" w:right="891" w:bottom="812" w:left="62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56911" w:rsidRDefault="00E56911">
      <w:pPr>
        <w:spacing w:after="0" w:line="240" w:lineRule="auto"/>
      </w:pPr>
      <w:r>
        <w:separator/>
      </w:r>
    </w:p>
  </w:endnote>
  <w:endnote w:type="continuationSeparator" w:id="0">
    <w:p w:rsidR="00E56911" w:rsidRDefault="00E569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43" w:usb2="00000009" w:usb3="00000000" w:csb0="000001FF" w:csb1="00000000"/>
  </w:font>
  <w:font w:name="Aptos">
    <w:panose1 w:val="020B00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Oswald">
    <w:panose1 w:val="00000500000000000000"/>
    <w:charset w:val="00"/>
    <w:family w:val="auto"/>
    <w:pitch w:val="variable"/>
    <w:sig w:usb0="2000020F" w:usb1="00000000" w:usb2="00000000" w:usb3="00000000" w:csb0="00000197" w:csb1="00000000"/>
  </w:font>
  <w:font w:name="Roboto Mono">
    <w:panose1 w:val="00000009000000000000"/>
    <w:charset w:val="00"/>
    <w:family w:val="modern"/>
    <w:pitch w:val="fixed"/>
    <w:sig w:usb0="E00002FF" w:usb1="1000205B" w:usb2="00000020" w:usb3="00000000" w:csb0="0000019F" w:csb1="00000000"/>
  </w:font>
  <w:font w:name="Aptos Display">
    <w:panose1 w:val="020B00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56911" w:rsidRDefault="00E56911">
      <w:pPr>
        <w:spacing w:after="0" w:line="240" w:lineRule="auto"/>
      </w:pPr>
      <w:r>
        <w:separator/>
      </w:r>
    </w:p>
  </w:footnote>
  <w:footnote w:type="continuationSeparator" w:id="0">
    <w:p w:rsidR="00E56911" w:rsidRDefault="00E569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B50B6" w:rsidRDefault="00E56911">
    <w:r>
      <w:rPr>
        <w:noProof/>
      </w:rPr>
      <mc:AlternateContent>
        <mc:Choice Requires="wpg">
          <w:drawing>
            <wp:anchor distT="0" distB="0" distL="114300" distR="114300" simplePos="0" relativeHeight="251658240" behindDoc="1" locked="0" layoutInCell="1" allowOverlap="1">
              <wp:simplePos x="0" y="0"/>
              <wp:positionH relativeFrom="page">
                <wp:posOffset>0</wp:posOffset>
              </wp:positionH>
              <wp:positionV relativeFrom="page">
                <wp:posOffset>0</wp:posOffset>
              </wp:positionV>
              <wp:extent cx="9144000" cy="5143500"/>
              <wp:effectExtent l="0" t="0" r="0" b="0"/>
              <wp:wrapNone/>
              <wp:docPr id="811" name="Group 811"/>
              <wp:cNvGraphicFramePr/>
              <a:graphic xmlns:a="http://schemas.openxmlformats.org/drawingml/2006/main">
                <a:graphicData uri="http://schemas.microsoft.com/office/word/2010/wordprocessingGroup">
                  <wpg:wgp>
                    <wpg:cNvGrpSpPr/>
                    <wpg:grpSpPr>
                      <a:xfrm>
                        <a:off x="0" y="0"/>
                        <a:ext cx="9144000" cy="5143500"/>
                        <a:chOff x="0" y="0"/>
                        <a:chExt cx="9144000" cy="5143500"/>
                      </a:xfrm>
                    </wpg:grpSpPr>
                    <wps:wsp>
                      <wps:cNvPr id="865" name="Shape 865"/>
                      <wps:cNvSpPr/>
                      <wps:spPr>
                        <a:xfrm>
                          <a:off x="0" y="0"/>
                          <a:ext cx="9144000" cy="5143500"/>
                        </a:xfrm>
                        <a:custGeom>
                          <a:avLst/>
                          <a:gdLst/>
                          <a:ahLst/>
                          <a:cxnLst/>
                          <a:rect l="0" t="0" r="0" b="0"/>
                          <a:pathLst>
                            <a:path w="9144000" h="5143500">
                              <a:moveTo>
                                <a:pt x="0" y="0"/>
                              </a:moveTo>
                              <a:lnTo>
                                <a:pt x="9144000" y="0"/>
                              </a:lnTo>
                              <a:lnTo>
                                <a:pt x="9144000" y="5143500"/>
                              </a:lnTo>
                              <a:lnTo>
                                <a:pt x="0" y="5143500"/>
                              </a:lnTo>
                              <a:lnTo>
                                <a:pt x="0" y="0"/>
                              </a:lnTo>
                            </a:path>
                          </a:pathLst>
                        </a:custGeom>
                        <a:ln w="0" cap="flat">
                          <a:miter lim="127000"/>
                        </a:ln>
                      </wps:spPr>
                      <wps:style>
                        <a:lnRef idx="0">
                          <a:srgbClr val="000000">
                            <a:alpha val="0"/>
                          </a:srgbClr>
                        </a:lnRef>
                        <a:fillRef idx="1">
                          <a:srgbClr val="37474F"/>
                        </a:fillRef>
                        <a:effectRef idx="0">
                          <a:scrgbClr r="0" g="0" b="0"/>
                        </a:effectRef>
                        <a:fontRef idx="none"/>
                      </wps:style>
                      <wps:bodyPr/>
                    </wps:wsp>
                  </wpg:wgp>
                </a:graphicData>
              </a:graphic>
            </wp:anchor>
          </w:drawing>
        </mc:Choice>
        <mc:Fallback xmlns:a="http://schemas.openxmlformats.org/drawingml/2006/main">
          <w:pict>
            <v:group id="Group 811" style="width:720pt;height:405pt;position:absolute;z-index:-2147483648;mso-position-horizontal-relative:page;mso-position-horizontal:absolute;margin-left:0pt;mso-position-vertical-relative:page;margin-top:0pt;" coordsize="91440,51435">
              <v:shape id="Shape 866" style="position:absolute;width:91440;height:51435;left:0;top:0;" coordsize="9144000,5143500" path="m0,0l9144000,0l9144000,5143500l0,5143500l0,0">
                <v:stroke weight="0pt" endcap="flat" joinstyle="miter" miterlimit="10" on="false" color="#000000" opacity="0"/>
                <v:fill on="true" color="#37474f"/>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B50B6" w:rsidRDefault="00E56911">
    <w:r>
      <w:rPr>
        <w:noProof/>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9144000" cy="5143500"/>
              <wp:effectExtent l="0" t="0" r="0" b="0"/>
              <wp:wrapNone/>
              <wp:docPr id="808" name="Group 808"/>
              <wp:cNvGraphicFramePr/>
              <a:graphic xmlns:a="http://schemas.openxmlformats.org/drawingml/2006/main">
                <a:graphicData uri="http://schemas.microsoft.com/office/word/2010/wordprocessingGroup">
                  <wpg:wgp>
                    <wpg:cNvGrpSpPr/>
                    <wpg:grpSpPr>
                      <a:xfrm>
                        <a:off x="0" y="0"/>
                        <a:ext cx="9144000" cy="5143500"/>
                        <a:chOff x="0" y="0"/>
                        <a:chExt cx="9144000" cy="5143500"/>
                      </a:xfrm>
                    </wpg:grpSpPr>
                    <wps:wsp>
                      <wps:cNvPr id="863" name="Shape 863"/>
                      <wps:cNvSpPr/>
                      <wps:spPr>
                        <a:xfrm>
                          <a:off x="0" y="0"/>
                          <a:ext cx="9144000" cy="5143500"/>
                        </a:xfrm>
                        <a:custGeom>
                          <a:avLst/>
                          <a:gdLst/>
                          <a:ahLst/>
                          <a:cxnLst/>
                          <a:rect l="0" t="0" r="0" b="0"/>
                          <a:pathLst>
                            <a:path w="9144000" h="5143500">
                              <a:moveTo>
                                <a:pt x="0" y="0"/>
                              </a:moveTo>
                              <a:lnTo>
                                <a:pt x="9144000" y="0"/>
                              </a:lnTo>
                              <a:lnTo>
                                <a:pt x="9144000" y="5143500"/>
                              </a:lnTo>
                              <a:lnTo>
                                <a:pt x="0" y="5143500"/>
                              </a:lnTo>
                              <a:lnTo>
                                <a:pt x="0" y="0"/>
                              </a:lnTo>
                            </a:path>
                          </a:pathLst>
                        </a:custGeom>
                        <a:ln w="0" cap="flat">
                          <a:miter lim="127000"/>
                        </a:ln>
                      </wps:spPr>
                      <wps:style>
                        <a:lnRef idx="0">
                          <a:srgbClr val="000000">
                            <a:alpha val="0"/>
                          </a:srgbClr>
                        </a:lnRef>
                        <a:fillRef idx="1">
                          <a:srgbClr val="37474F"/>
                        </a:fillRef>
                        <a:effectRef idx="0">
                          <a:scrgbClr r="0" g="0" b="0"/>
                        </a:effectRef>
                        <a:fontRef idx="none"/>
                      </wps:style>
                      <wps:bodyPr/>
                    </wps:wsp>
                  </wpg:wgp>
                </a:graphicData>
              </a:graphic>
            </wp:anchor>
          </w:drawing>
        </mc:Choice>
        <mc:Fallback xmlns:a="http://schemas.openxmlformats.org/drawingml/2006/main">
          <w:pict>
            <v:group id="Group 808" style="width:720pt;height:405pt;position:absolute;z-index:-2147483648;mso-position-horizontal-relative:page;mso-position-horizontal:absolute;margin-left:0pt;mso-position-vertical-relative:page;margin-top:0pt;" coordsize="91440,51435">
              <v:shape id="Shape 864" style="position:absolute;width:91440;height:51435;left:0;top:0;" coordsize="9144000,5143500" path="m0,0l9144000,0l9144000,5143500l0,5143500l0,0">
                <v:stroke weight="0pt" endcap="flat" joinstyle="miter" miterlimit="10" on="false" color="#000000" opacity="0"/>
                <v:fill on="true" color="#37474f"/>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B50B6" w:rsidRDefault="00E56911">
    <w:r>
      <w:rPr>
        <w:noProof/>
      </w:rP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9144000" cy="5143500"/>
              <wp:effectExtent l="0" t="0" r="0" b="0"/>
              <wp:wrapNone/>
              <wp:docPr id="805" name="Group 805"/>
              <wp:cNvGraphicFramePr/>
              <a:graphic xmlns:a="http://schemas.openxmlformats.org/drawingml/2006/main">
                <a:graphicData uri="http://schemas.microsoft.com/office/word/2010/wordprocessingGroup">
                  <wpg:wgp>
                    <wpg:cNvGrpSpPr/>
                    <wpg:grpSpPr>
                      <a:xfrm>
                        <a:off x="0" y="0"/>
                        <a:ext cx="9144000" cy="5143500"/>
                        <a:chOff x="0" y="0"/>
                        <a:chExt cx="9144000" cy="5143500"/>
                      </a:xfrm>
                    </wpg:grpSpPr>
                    <wps:wsp>
                      <wps:cNvPr id="861" name="Shape 861"/>
                      <wps:cNvSpPr/>
                      <wps:spPr>
                        <a:xfrm>
                          <a:off x="0" y="0"/>
                          <a:ext cx="9144000" cy="5143500"/>
                        </a:xfrm>
                        <a:custGeom>
                          <a:avLst/>
                          <a:gdLst/>
                          <a:ahLst/>
                          <a:cxnLst/>
                          <a:rect l="0" t="0" r="0" b="0"/>
                          <a:pathLst>
                            <a:path w="9144000" h="5143500">
                              <a:moveTo>
                                <a:pt x="0" y="0"/>
                              </a:moveTo>
                              <a:lnTo>
                                <a:pt x="9144000" y="0"/>
                              </a:lnTo>
                              <a:lnTo>
                                <a:pt x="9144000" y="5143500"/>
                              </a:lnTo>
                              <a:lnTo>
                                <a:pt x="0" y="5143500"/>
                              </a:lnTo>
                              <a:lnTo>
                                <a:pt x="0" y="0"/>
                              </a:lnTo>
                            </a:path>
                          </a:pathLst>
                        </a:custGeom>
                        <a:ln w="0" cap="flat">
                          <a:miter lim="127000"/>
                        </a:ln>
                      </wps:spPr>
                      <wps:style>
                        <a:lnRef idx="0">
                          <a:srgbClr val="000000">
                            <a:alpha val="0"/>
                          </a:srgbClr>
                        </a:lnRef>
                        <a:fillRef idx="1">
                          <a:srgbClr val="37474F"/>
                        </a:fillRef>
                        <a:effectRef idx="0">
                          <a:scrgbClr r="0" g="0" b="0"/>
                        </a:effectRef>
                        <a:fontRef idx="none"/>
                      </wps:style>
                      <wps:bodyPr/>
                    </wps:wsp>
                  </wpg:wgp>
                </a:graphicData>
              </a:graphic>
            </wp:anchor>
          </w:drawing>
        </mc:Choice>
        <mc:Fallback xmlns:a="http://schemas.openxmlformats.org/drawingml/2006/main">
          <w:pict>
            <v:group id="Group 805" style="width:720pt;height:405pt;position:absolute;z-index:-2147483648;mso-position-horizontal-relative:page;mso-position-horizontal:absolute;margin-left:0pt;mso-position-vertical-relative:page;margin-top:0pt;" coordsize="91440,51435">
              <v:shape id="Shape 862" style="position:absolute;width:91440;height:51435;left:0;top:0;" coordsize="9144000,5143500" path="m0,0l9144000,0l9144000,5143500l0,5143500l0,0">
                <v:stroke weight="0pt" endcap="flat" joinstyle="miter" miterlimit="10" on="false" color="#000000" opacity="0"/>
                <v:fill on="true" color="#37474f"/>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C100D1"/>
    <w:multiLevelType w:val="hybridMultilevel"/>
    <w:tmpl w:val="FFFFFFFF"/>
    <w:lvl w:ilvl="0" w:tplc="EAFAFD5E">
      <w:start w:val="1"/>
      <w:numFmt w:val="decimal"/>
      <w:lvlText w:val="%1."/>
      <w:lvlJc w:val="left"/>
      <w:pPr>
        <w:ind w:left="289"/>
      </w:pPr>
      <w:rPr>
        <w:rFonts w:ascii="Arial" w:eastAsia="Arial" w:hAnsi="Arial" w:cs="Arial"/>
        <w:b/>
        <w:bCs/>
        <w:i w:val="0"/>
        <w:strike w:val="0"/>
        <w:dstrike w:val="0"/>
        <w:color w:val="FFFFFF"/>
        <w:sz w:val="26"/>
        <w:szCs w:val="26"/>
        <w:u w:val="none" w:color="000000"/>
        <w:bdr w:val="none" w:sz="0" w:space="0" w:color="auto"/>
        <w:shd w:val="clear" w:color="auto" w:fill="auto"/>
        <w:vertAlign w:val="baseline"/>
      </w:rPr>
    </w:lvl>
    <w:lvl w:ilvl="1" w:tplc="8436AE10">
      <w:start w:val="1"/>
      <w:numFmt w:val="bullet"/>
      <w:lvlText w:val="●"/>
      <w:lvlJc w:val="left"/>
      <w:pPr>
        <w:ind w:left="600"/>
      </w:pPr>
      <w:rPr>
        <w:rFonts w:ascii="Arial" w:eastAsia="Arial" w:hAnsi="Arial" w:cs="Arial"/>
        <w:b w:val="0"/>
        <w:i w:val="0"/>
        <w:strike w:val="0"/>
        <w:dstrike w:val="0"/>
        <w:color w:val="FFFFFF"/>
        <w:sz w:val="20"/>
        <w:szCs w:val="20"/>
        <w:u w:val="none" w:color="000000"/>
        <w:bdr w:val="none" w:sz="0" w:space="0" w:color="auto"/>
        <w:shd w:val="clear" w:color="auto" w:fill="auto"/>
        <w:vertAlign w:val="baseline"/>
      </w:rPr>
    </w:lvl>
    <w:lvl w:ilvl="2" w:tplc="34F86CF8">
      <w:start w:val="1"/>
      <w:numFmt w:val="bullet"/>
      <w:lvlText w:val="▪"/>
      <w:lvlJc w:val="left"/>
      <w:pPr>
        <w:ind w:left="1321"/>
      </w:pPr>
      <w:rPr>
        <w:rFonts w:ascii="Arial" w:eastAsia="Arial" w:hAnsi="Arial" w:cs="Arial"/>
        <w:b w:val="0"/>
        <w:i w:val="0"/>
        <w:strike w:val="0"/>
        <w:dstrike w:val="0"/>
        <w:color w:val="FFFFFF"/>
        <w:sz w:val="20"/>
        <w:szCs w:val="20"/>
        <w:u w:val="none" w:color="000000"/>
        <w:bdr w:val="none" w:sz="0" w:space="0" w:color="auto"/>
        <w:shd w:val="clear" w:color="auto" w:fill="auto"/>
        <w:vertAlign w:val="baseline"/>
      </w:rPr>
    </w:lvl>
    <w:lvl w:ilvl="3" w:tplc="D00C03C2">
      <w:start w:val="1"/>
      <w:numFmt w:val="bullet"/>
      <w:lvlText w:val="•"/>
      <w:lvlJc w:val="left"/>
      <w:pPr>
        <w:ind w:left="2041"/>
      </w:pPr>
      <w:rPr>
        <w:rFonts w:ascii="Arial" w:eastAsia="Arial" w:hAnsi="Arial" w:cs="Arial"/>
        <w:b w:val="0"/>
        <w:i w:val="0"/>
        <w:strike w:val="0"/>
        <w:dstrike w:val="0"/>
        <w:color w:val="FFFFFF"/>
        <w:sz w:val="20"/>
        <w:szCs w:val="20"/>
        <w:u w:val="none" w:color="000000"/>
        <w:bdr w:val="none" w:sz="0" w:space="0" w:color="auto"/>
        <w:shd w:val="clear" w:color="auto" w:fill="auto"/>
        <w:vertAlign w:val="baseline"/>
      </w:rPr>
    </w:lvl>
    <w:lvl w:ilvl="4" w:tplc="73642252">
      <w:start w:val="1"/>
      <w:numFmt w:val="bullet"/>
      <w:lvlText w:val="o"/>
      <w:lvlJc w:val="left"/>
      <w:pPr>
        <w:ind w:left="2761"/>
      </w:pPr>
      <w:rPr>
        <w:rFonts w:ascii="Arial" w:eastAsia="Arial" w:hAnsi="Arial" w:cs="Arial"/>
        <w:b w:val="0"/>
        <w:i w:val="0"/>
        <w:strike w:val="0"/>
        <w:dstrike w:val="0"/>
        <w:color w:val="FFFFFF"/>
        <w:sz w:val="20"/>
        <w:szCs w:val="20"/>
        <w:u w:val="none" w:color="000000"/>
        <w:bdr w:val="none" w:sz="0" w:space="0" w:color="auto"/>
        <w:shd w:val="clear" w:color="auto" w:fill="auto"/>
        <w:vertAlign w:val="baseline"/>
      </w:rPr>
    </w:lvl>
    <w:lvl w:ilvl="5" w:tplc="224C2A84">
      <w:start w:val="1"/>
      <w:numFmt w:val="bullet"/>
      <w:lvlText w:val="▪"/>
      <w:lvlJc w:val="left"/>
      <w:pPr>
        <w:ind w:left="3481"/>
      </w:pPr>
      <w:rPr>
        <w:rFonts w:ascii="Arial" w:eastAsia="Arial" w:hAnsi="Arial" w:cs="Arial"/>
        <w:b w:val="0"/>
        <w:i w:val="0"/>
        <w:strike w:val="0"/>
        <w:dstrike w:val="0"/>
        <w:color w:val="FFFFFF"/>
        <w:sz w:val="20"/>
        <w:szCs w:val="20"/>
        <w:u w:val="none" w:color="000000"/>
        <w:bdr w:val="none" w:sz="0" w:space="0" w:color="auto"/>
        <w:shd w:val="clear" w:color="auto" w:fill="auto"/>
        <w:vertAlign w:val="baseline"/>
      </w:rPr>
    </w:lvl>
    <w:lvl w:ilvl="6" w:tplc="6E7E6130">
      <w:start w:val="1"/>
      <w:numFmt w:val="bullet"/>
      <w:lvlText w:val="•"/>
      <w:lvlJc w:val="left"/>
      <w:pPr>
        <w:ind w:left="4201"/>
      </w:pPr>
      <w:rPr>
        <w:rFonts w:ascii="Arial" w:eastAsia="Arial" w:hAnsi="Arial" w:cs="Arial"/>
        <w:b w:val="0"/>
        <w:i w:val="0"/>
        <w:strike w:val="0"/>
        <w:dstrike w:val="0"/>
        <w:color w:val="FFFFFF"/>
        <w:sz w:val="20"/>
        <w:szCs w:val="20"/>
        <w:u w:val="none" w:color="000000"/>
        <w:bdr w:val="none" w:sz="0" w:space="0" w:color="auto"/>
        <w:shd w:val="clear" w:color="auto" w:fill="auto"/>
        <w:vertAlign w:val="baseline"/>
      </w:rPr>
    </w:lvl>
    <w:lvl w:ilvl="7" w:tplc="EB4E9C44">
      <w:start w:val="1"/>
      <w:numFmt w:val="bullet"/>
      <w:lvlText w:val="o"/>
      <w:lvlJc w:val="left"/>
      <w:pPr>
        <w:ind w:left="4921"/>
      </w:pPr>
      <w:rPr>
        <w:rFonts w:ascii="Arial" w:eastAsia="Arial" w:hAnsi="Arial" w:cs="Arial"/>
        <w:b w:val="0"/>
        <w:i w:val="0"/>
        <w:strike w:val="0"/>
        <w:dstrike w:val="0"/>
        <w:color w:val="FFFFFF"/>
        <w:sz w:val="20"/>
        <w:szCs w:val="20"/>
        <w:u w:val="none" w:color="000000"/>
        <w:bdr w:val="none" w:sz="0" w:space="0" w:color="auto"/>
        <w:shd w:val="clear" w:color="auto" w:fill="auto"/>
        <w:vertAlign w:val="baseline"/>
      </w:rPr>
    </w:lvl>
    <w:lvl w:ilvl="8" w:tplc="538CBD2E">
      <w:start w:val="1"/>
      <w:numFmt w:val="bullet"/>
      <w:lvlText w:val="▪"/>
      <w:lvlJc w:val="left"/>
      <w:pPr>
        <w:ind w:left="5641"/>
      </w:pPr>
      <w:rPr>
        <w:rFonts w:ascii="Arial" w:eastAsia="Arial" w:hAnsi="Arial" w:cs="Arial"/>
        <w:b w:val="0"/>
        <w:i w:val="0"/>
        <w:strike w:val="0"/>
        <w:dstrike w:val="0"/>
        <w:color w:val="FFFFFF"/>
        <w:sz w:val="20"/>
        <w:szCs w:val="20"/>
        <w:u w:val="none" w:color="000000"/>
        <w:bdr w:val="none" w:sz="0" w:space="0" w:color="auto"/>
        <w:shd w:val="clear" w:color="auto" w:fill="auto"/>
        <w:vertAlign w:val="baseline"/>
      </w:rPr>
    </w:lvl>
  </w:abstractNum>
  <w:num w:numId="1" w16cid:durableId="1361858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4"/>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50B6"/>
    <w:rsid w:val="00253249"/>
    <w:rsid w:val="0046532E"/>
    <w:rsid w:val="006A6FE8"/>
    <w:rsid w:val="006B50B6"/>
    <w:rsid w:val="00A02929"/>
    <w:rsid w:val="00C05185"/>
    <w:rsid w:val="00DE48AB"/>
    <w:rsid w:val="00E56911"/>
    <w:rsid w:val="00F00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B814F5"/>
  <w15:docId w15:val="{8EB14D43-413C-0F46-A7B7-A302C7A6E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left="266"/>
      <w:jc w:val="center"/>
      <w:outlineLvl w:val="0"/>
    </w:pPr>
    <w:rPr>
      <w:rFonts w:ascii="Calibri" w:eastAsia="Calibri" w:hAnsi="Calibri" w:cs="Calibri"/>
      <w:color w:val="CACACA"/>
      <w:sz w:val="4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CACACA"/>
      <w:sz w:val="4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 /><Relationship Id="rId13" Type="http://schemas.openxmlformats.org/officeDocument/2006/relationships/header" Target="header3.xml" /><Relationship Id="rId3" Type="http://schemas.openxmlformats.org/officeDocument/2006/relationships/settings" Target="settings.xml" /><Relationship Id="rId7" Type="http://schemas.openxmlformats.org/officeDocument/2006/relationships/image" Target="media/image1.jpg" /><Relationship Id="rId12" Type="http://schemas.openxmlformats.org/officeDocument/2006/relationships/header" Target="header2.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1.xml" /><Relationship Id="rId5" Type="http://schemas.openxmlformats.org/officeDocument/2006/relationships/footnotes" Target="footnotes.xml" /><Relationship Id="rId15" Type="http://schemas.openxmlformats.org/officeDocument/2006/relationships/theme" Target="theme/theme1.xml" /><Relationship Id="rId10" Type="http://schemas.openxmlformats.org/officeDocument/2006/relationships/image" Target="media/image4.jpg" /><Relationship Id="rId4" Type="http://schemas.openxmlformats.org/officeDocument/2006/relationships/webSettings" Target="webSettings.xml" /><Relationship Id="rId9" Type="http://schemas.openxmlformats.org/officeDocument/2006/relationships/image" Target="media/image3.jpg"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212</Words>
  <Characters>1209</Characters>
  <Application>Microsoft Office Word</Application>
  <DocSecurity>0</DocSecurity>
  <Lines>10</Lines>
  <Paragraphs>2</Paragraphs>
  <ScaleCrop>false</ScaleCrop>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Data Analyst Project</dc:title>
  <dc:subject/>
  <dc:creator/>
  <cp:keywords/>
  <cp:lastModifiedBy>Nayan Jain</cp:lastModifiedBy>
  <cp:revision>2</cp:revision>
  <dcterms:created xsi:type="dcterms:W3CDTF">2024-09-21T17:51:00Z</dcterms:created>
  <dcterms:modified xsi:type="dcterms:W3CDTF">2024-09-21T17:51:00Z</dcterms:modified>
</cp:coreProperties>
</file>